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Empty"/>
      </w:pPr>
      <w:r>
        <w:drawing>
          <wp:anchor distT="0" distB="0" distL="0" distR="0" simplePos="0" allowOverlap="1" behindDoc="1" locked="0" layoutInCell="1" relativeHeight="10763250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2457450" cy="10763250"/>
            <wp:effectExtent b="0" l="0" r="0" t="0"/>
            <wp:wrapNone/>
            <wp:docPr id="0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=""/>
                    <pic:cNvPicPr>
                      <a:picLocks noChangeAspect="1" noChangeArrowheads="1"/>
                    </pic:cNvPicPr>
                  </pic:nvPicPr>
                  <pic:blipFill>
                    <a:blip r:embed="rId9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ext cx="2457450" cy="10763250"/>
                      <a:off x="0" 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CellMar>
          <w:bottom w:type="auto" w:w="0"/>
          <w:top w:type="auto" w:w="0"/>
          <w:left w:type="auto" w:w="0"/>
          <w:right w:type="auto" w:w="0"/>
        </w:tblCellMar>
        <w:tblW w:type="dxa" w:w="11111.81102362205"/>
      </w:tblPr>
      <w:tblGrid>
        <w:gridCol w:w="6338.2677165354335"/>
        <w:gridCol w:w="3894.8031496062995"/>
      </w:tblGrid>
      <w:tr>
        <w:tc>
          <w:tcPr>
            <w:tcMar>
              <w:top w:w="0" w:type="dxa"/>
              <w:bottom w:w="0" w:type="dxa"/>
              <w:end w:w="878.740157480315" w:type="dxa"/>
              <w:start w:w="0" w:type="dxa"/>
            </w:tcMar>
            <w:tcW w:w="6338.2677165354335" w:type="dxa"/>
            <w:tcW w:w="6338.2677165354335" w:type="dxa"/>
          </w:tcPr>
          <w:tbl>
            <w:tblPr>
              <w:tblCellMar>
                <w:bottom w:type="dxa" w:w="52.800000000000004"/>
                <w:top w:type="dxa" w:w="0"/>
                <w:left w:type="dxa" w:w="0"/>
                <w:right w:type="dxa" w:w="0"/>
              </w:tblCellMar>
              <w:tblW w:type="dxa" w:w="6338.2677165354335"/>
            </w:tblPr>
            <w:tblGrid>
              <w:gridCol w:w="566.9291338582677"/>
              <w:gridCol w:w="5771.338582677165"/>
            </w:tblGrid>
            <w:tr>
              <w:tc>
                <w:tcPr>
                  <w:vAlign w:val="center"/>
                  <w:tcMar>
                    <w:top w:w="0" w:type="dxa"/>
                    <w:bottom w:w="0" w:type="dxa"/>
                    <w:end w:w="343.2" w:type="dxa"/>
                    <w:start w:w="0" w:type="dxa"/>
                  </w:tcMar>
                  <w:tcW w:w="566.9291338582677" w:type="dxa"/>
                  <w:tcW w:w="566.9291338582677" w:type="dxa"/>
                </w:tcPr>
                <w:p>
                  <w:pPr>
                    <w:pStyle w:val="AvatarContainer"/>
                  </w:pPr>
                  <w:r>
                    <w:drawing>
                      <wp:inline distT="0" distB="0" distL="0" distR="0">
                        <wp:extent cx="561975" cy="561975"/>
                        <wp:effectExtent b="0" l="0" r="0" t="0"/>
                        <wp:docPr id="0" name="" descr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 desc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none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ext cx="561975" cy="561975"/>
                                  <a:off x="0" y="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vAlign w:val="center"/>
                  <w:tcW w:w="5771.338582677165" w:type="dxa"/>
                  <w:tcW w:w="5771.338582677165" w:type="dxa"/>
                </w:tcPr>
                <w:p>
                  <w:pPr>
                    <w:pStyle w:val="Name"/>
                  </w:pPr>
                  <w:r>
                    <w:t xml:space="preserve">Ravi Dev</w:t>
                  </w:r>
                </w:p>
                <w:p>
                  <w:pPr>
                    <w:pStyle w:val="JobTitle"/>
                  </w:pPr>
                  <w:r>
                    <w:t xml:space="preserve">SAP Project Manager</w:t>
                  </w:r>
                </w:p>
              </w:tc>
            </w:tr>
          </w:tbl>
          <w:p>
            <w:pPr>
              <w:pStyle w:val="Heading1"/>
            </w:pPr>
            <w:r>
              <w:t xml:space="preserve">Profile</w:t>
            </w:r>
          </w:p>
          <w:p>
            <w:r>
              <w:t xml:space="preserve">Overall 12+ Years of experience in SAP at PWC , Kellogg’s, Lekki Port ,SPML INFRA LTD, Colgate and Tolaram Group in the areas of Solution Design, Consulting , SAP Business process harmonization and Delivery Management across different Industries like Construction, FMCG, Automobile and Port Industry</w:t>
            </w:r>
          </w:p>
          <w:p>
            <w:r>
              <w:t xml:space="preserve">•PMP Certified and SAP Certified Activate Project Manager.</w:t>
            </w:r>
          </w:p>
          <w:p>
            <w:r>
              <w:t xml:space="preserve">•Successfully delivered 5 end to end SAP S4HANA ( 1709/1809/1909/2021 ) Greenfield Implementations &amp; Roll outs in India, US, Egypt, South Africa, Nigeria and Ghana utilizing SAP Best Practices &amp; SAP Model Company.</w:t>
            </w:r>
          </w:p>
          <w:p>
            <w:pPr>
              <w:pStyle w:val="Heading1"/>
            </w:pPr>
            <w:r>
              <w:t xml:space="preserve">Employment History</w:t>
            </w:r>
          </w:p>
          <w:p>
            <w:pPr>
              <w:pStyle w:val="Heading2"/>
            </w:pPr>
            <w:r>
              <w:t xml:space="preserve">SAP Project Manager, Tolaram Group, Lagos</w:t>
            </w:r>
          </w:p>
          <w:p>
            <w:pPr>
              <w:pStyle w:val="Date"/>
            </w:pPr>
            <w:r>
              <w:t xml:space="preserve">January 2021 — Present</w:t>
            </w:r>
          </w:p>
          <w:p>
            <w:r>
              <w:t xml:space="preserve">- Manage IS transformations as part of major complex projects and multi country.</w:t>
            </w:r>
            <w:r>
              <w:br/>
            </w:r>
            <w:r>
              <w:t xml:space="preserve">- Manage planning, budget and stakeholders</w:t>
            </w:r>
          </w:p>
          <w:p>
            <w:r>
              <w:t xml:space="preserve">- Have been part of due diligence, discovery call and RFPs for </w:t>
            </w:r>
            <w:r>
              <w:br/>
            </w:r>
            <w:r>
              <w:t xml:space="preserve">various Implementation projects.</w:t>
            </w:r>
            <w:r>
              <w:br/>
            </w:r>
            <w:r>
              <w:t xml:space="preserve">- Coordinate and ensure delivery of solution with cross- </w:t>
            </w:r>
            <w:r>
              <w:br/>
            </w:r>
            <w:r>
              <w:t xml:space="preserve">functional and multi-platform systems</w:t>
            </w:r>
            <w:r>
              <w:br/>
            </w:r>
            <w:r>
              <w:t xml:space="preserve">- Managed projects in: India, Nigeria, Ghana, South Africa and </w:t>
            </w:r>
            <w:r>
              <w:br/>
            </w:r>
            <w:r>
              <w:t xml:space="preserve">Egypt</w:t>
            </w:r>
          </w:p>
          <w:p>
            <w:r>
              <w:t xml:space="preserve">- Managing team of 50+ Consultants</w:t>
            </w:r>
          </w:p>
          <w:p>
            <w:r>
              <w:t xml:space="preserve">- Implementation done in top FMCG Kellogg-Tolaram, </w:t>
            </w:r>
            <w:r>
              <w:br/>
            </w:r>
            <w:r>
              <w:t xml:space="preserve">Colgate-Tolaram , Tolaram-Arla and Tolaram</w:t>
            </w:r>
          </w:p>
          <w:p>
            <w:r>
              <w:t xml:space="preserve">- Offshore team setup</w:t>
            </w:r>
          </w:p>
          <w:p>
            <w:r>
              <w:t xml:space="preserve">- Organization Change Management</w:t>
            </w:r>
          </w:p>
          <w:p>
            <w:pPr>
              <w:pStyle w:val="Heading2"/>
            </w:pPr>
            <w:r>
              <w:t xml:space="preserve">SAP Manager, Lekki Port LFZ Enterprise Limited, Lagos</w:t>
            </w:r>
          </w:p>
          <w:p>
            <w:pPr>
              <w:pStyle w:val="Date"/>
            </w:pPr>
            <w:r>
              <w:t xml:space="preserve">July 2018 — December 2020</w:t>
            </w:r>
          </w:p>
          <w:p>
            <w:r>
              <w:t xml:space="preserve">-Handled 20 consultants hybrid mode of implementation.</w:t>
            </w:r>
          </w:p>
          <w:p>
            <w:r>
              <w:t xml:space="preserve">- SAP Activate Methodology </w:t>
            </w:r>
          </w:p>
          <w:p>
            <w:r>
              <w:t xml:space="preserve">- Digital Transformation </w:t>
            </w:r>
          </w:p>
          <w:p>
            <w:r>
              <w:t xml:space="preserve">- organization Change Management</w:t>
            </w:r>
          </w:p>
          <w:p>
            <w:r>
              <w:t xml:space="preserve">- Solution Designing </w:t>
            </w:r>
          </w:p>
          <w:p>
            <w:pPr>
              <w:pStyle w:val="Heading2"/>
            </w:pPr>
            <w:r>
              <w:t xml:space="preserve">SAP Team Lead, Zenfocus Pvt Limited, Gurgaon</w:t>
            </w:r>
          </w:p>
          <w:p>
            <w:pPr>
              <w:pStyle w:val="Date"/>
            </w:pPr>
            <w:r>
              <w:t xml:space="preserve">December 2017 — June 2018</w:t>
            </w:r>
          </w:p>
          <w:p>
            <w:r>
              <w:t xml:space="preserve">- Solution Design Architect </w:t>
            </w:r>
          </w:p>
          <w:p>
            <w:r>
              <w:t xml:space="preserve">- India 10th S4HANA Implementation Project </w:t>
            </w:r>
          </w:p>
          <w:p>
            <w:r>
              <w:t xml:space="preserve">- SAP Pilot customer for LTMC template </w:t>
            </w:r>
          </w:p>
          <w:p>
            <w:r>
              <w:t xml:space="preserve">- Greenfilled S4HANA project  version 1709</w:t>
            </w:r>
          </w:p>
          <w:p>
            <w:r>
              <w:t xml:space="preserve">- Project Completed FIEM INDUSTRIES LTD, MASU       BREAKPAD LTD and SBTL Building Pvt LTD</w:t>
            </w:r>
          </w:p>
          <w:p>
            <w:pPr>
              <w:pStyle w:val="Heading2"/>
            </w:pPr>
            <w:r>
              <w:t xml:space="preserve">SAP FICO Consultant, SPML INFRA LTD, Gurgaon</w:t>
            </w:r>
          </w:p>
          <w:p>
            <w:pPr>
              <w:pStyle w:val="Date"/>
            </w:pPr>
            <w:r>
              <w:t xml:space="preserve">April 2013 — November 2017</w:t>
            </w:r>
          </w:p>
          <w:p>
            <w:r>
              <w:t xml:space="preserve">- As a team lead involved leading and supporting Finance</w:t>
            </w:r>
          </w:p>
          <w:p>
            <w:r>
              <w:t xml:space="preserve">- Strong understanding of SAP Finance Data and Table</w:t>
            </w:r>
            <w:r>
              <w:br/>
            </w:r>
            <w:r>
              <w:t xml:space="preserve">Structures</w:t>
            </w:r>
          </w:p>
          <w:p>
            <w:r>
              <w:t xml:space="preserve">- Good working knowledge of the Central Finance scenario in</w:t>
            </w:r>
            <w:r>
              <w:br/>
            </w:r>
            <w:r>
              <w:t xml:space="preserve">Simple Finance</w:t>
            </w:r>
          </w:p>
          <w:p>
            <w:r>
              <w:t xml:space="preserve">- India GST Implementation </w:t>
            </w:r>
          </w:p>
          <w:p>
            <w:r>
              <w:t xml:space="preserve">- Played a key role in all the areas of integration of FICO with </w:t>
            </w:r>
            <w:r>
              <w:br/>
            </w:r>
            <w:r>
              <w:t xml:space="preserve">MM, SD, PP modules</w:t>
            </w:r>
          </w:p>
          <w:p>
            <w:r>
              <w:t xml:space="preserve">- CO-PS Integration: Assignment of plan and actual costing </w:t>
            </w:r>
            <w:r>
              <w:br/>
            </w:r>
            <w:r>
              <w:t xml:space="preserve">variants to the order types, assignment of  RA key and </w:t>
            </w:r>
            <w:r>
              <w:br/>
            </w:r>
            <w:r>
              <w:t xml:space="preserve">settlement profile to order type, assignment of variance key </w:t>
            </w:r>
            <w:r>
              <w:br/>
            </w:r>
            <w:r>
              <w:t xml:space="preserve">to plants</w:t>
            </w:r>
          </w:p>
          <w:p>
            <w:pPr>
              <w:pStyle w:val="Heading1"/>
            </w:pPr>
            <w:r>
              <w:t xml:space="preserve">Education</w:t>
            </w:r>
          </w:p>
          <w:p>
            <w:pPr>
              <w:pStyle w:val="Heading2"/>
            </w:pPr>
            <w:r>
              <w:t xml:space="preserve">Bachelor in Technology Computers Science, Chaudhary Charan Singh University, Meerut</w:t>
            </w:r>
          </w:p>
          <w:p>
            <w:pPr>
              <w:pStyle w:val="Date"/>
            </w:pPr>
            <w:r>
              <w:t xml:space="preserve">April 2009 — March 2013</w:t>
            </w:r>
          </w:p>
          <w:p>
            <w:pPr>
              <w:pStyle w:val="Heading1"/>
            </w:pPr>
            <w:r>
              <w:t xml:space="preserve">Courses</w:t>
            </w:r>
          </w:p>
          <w:p>
            <w:pPr>
              <w:pStyle w:val="Heading2"/>
            </w:pPr>
            <w:r>
              <w:t xml:space="preserve">PMP, Project Management Institute</w:t>
            </w:r>
          </w:p>
          <w:p>
            <w:pPr>
              <w:pStyle w:val="Date"/>
            </w:pPr>
            <w:r>
              <w:t xml:space="preserve">November 2020 — November 2023</w:t>
            </w:r>
          </w:p>
          <w:p>
            <w:pPr>
              <w:pStyle w:val="Heading2"/>
            </w:pPr>
            <w:r>
              <w:t xml:space="preserve">Lean Six Sigma Black Belt , Global Association for Quality Management (GAQM)</w:t>
            </w:r>
          </w:p>
          <w:p>
            <w:pPr>
              <w:pStyle w:val="Date"/>
            </w:pPr>
            <w:r>
              <w:t xml:space="preserve">November 2020</w:t>
            </w:r>
          </w:p>
          <w:p>
            <w:pPr>
              <w:pStyle w:val="Heading2"/>
            </w:pPr>
            <w:r>
              <w:t xml:space="preserve">SAP Activate Project Manager, SAP</w:t>
            </w:r>
          </w:p>
          <w:p>
            <w:pPr>
              <w:pStyle w:val="Date"/>
            </w:pPr>
            <w:r>
              <w:t xml:space="preserve">November 2020</w:t>
            </w:r>
          </w:p>
          <w:p>
            <w:pPr>
              <w:pStyle w:val="Heading2"/>
            </w:pPr>
            <w:r>
              <w:t xml:space="preserve">Data Science: Visualization, HarvardX </w:t>
            </w:r>
          </w:p>
          <w:p>
            <w:pPr>
              <w:pStyle w:val="Date"/>
            </w:pPr>
            <w:r>
              <w:t xml:space="preserve">March 2020</w:t>
            </w:r>
          </w:p>
          <w:p>
            <w:pPr>
              <w:pStyle w:val="Heading1"/>
            </w:pPr>
            <w:r>
              <w:t xml:space="preserve">Extra-curricular activities</w:t>
            </w:r>
          </w:p>
        </w:tc>
        <w:tc>
          <w:tcPr>
            <w:tcMar>
              <w:top w:w="0" w:type="dxa"/>
              <w:bottom w:w="0" w:type="dxa"/>
              <w:end w:w="793.7007874015746" w:type="dxa"/>
              <w:start w:w="634.96062992126" w:type="dxa"/>
            </w:tcMar>
            <w:tcW w:w="3894.8031496062995" w:type="dxa"/>
            <w:tcW w:w="3894.8031496062995" w:type="dxa"/>
          </w:tcPr>
          <w:p>
            <w:pPr>
              <w:pStyle w:val="SidebarTopSpace"/>
            </w:pPr>
          </w:p>
          <w:p>
            <w:pPr>
              <w:pStyle w:val="Heading3"/>
            </w:pPr>
            <w:r>
              <w:t xml:space="preserve">Details</w:t>
            </w:r>
          </w:p>
          <w:p>
            <w:pPr>
              <w:pStyle w:val="SidebarText"/>
            </w:pPr>
            <w:r>
              <w:t xml:space="preserve">Address- Amara Cateters Court IKoyi ,Lagos, Nigeria</w:t>
            </w:r>
            <w:r>
              <w:br/>
              <w:t xml:space="preserve">Phone- +234 8022904161,                             +91 9990924559</w:t>
            </w:r>
          </w:p>
          <w:p>
            <w:pPr>
              <w:pStyle w:val="SidebarText"/>
            </w:pPr>
            <w:hyperlink w:history="1" r:id="rId30946">
              <w:r>
                <w:rPr>
                  <w:rStyle w:val="SidebarLink"/>
                </w:rPr>
                <w:t xml:space="preserve">Email -sundev003@gmail.com</w:t>
              </w:r>
            </w:hyperlink>
          </w:p>
          <w:p>
            <w:pPr>
              <w:pStyle w:val="Heading4"/>
            </w:pPr>
            <w:r>
              <w:t xml:space="preserve">Nationality</w:t>
            </w:r>
          </w:p>
          <w:p>
            <w:pPr>
              <w:pStyle w:val="SidebarText"/>
            </w:pPr>
            <w:r>
              <w:t xml:space="preserve">Indian</w:t>
            </w:r>
          </w:p>
          <w:p>
            <w:pPr>
              <w:pStyle w:val="Heading4"/>
            </w:pPr>
            <w:r>
              <w:t xml:space="preserve">Date / Place of birth</w:t>
            </w:r>
          </w:p>
          <w:p>
            <w:pPr>
              <w:pStyle w:val="SidebarText"/>
            </w:pPr>
            <w:r>
              <w:t xml:space="preserve">20/07/1988</w:t>
            </w:r>
          </w:p>
          <w:p>
            <w:pPr>
              <w:pStyle w:val="SidebarText"/>
            </w:pPr>
            <w:r>
              <w:t xml:space="preserve">India</w:t>
            </w:r>
          </w:p>
          <w:p>
            <w:pPr>
              <w:pStyle w:val="Heading3"/>
            </w:pPr>
            <w:r>
              <w:t xml:space="preserve">Links</w:t>
            </w:r>
          </w:p>
          <w:p>
            <w:pPr>
              <w:pStyle w:val="SidebarText"/>
            </w:pPr>
            <w:hyperlink w:history="1" r:id="rId47022">
              <w:r>
                <w:rPr>
                  <w:rStyle w:val="SidebarLink"/>
                </w:rPr>
                <w:t xml:space="preserve">LinkedIn</w:t>
              </w:r>
            </w:hyperlink>
          </w:p>
          <w:p>
            <w:pPr>
              <w:pStyle w:val="Heading3"/>
            </w:pPr>
            <w:r>
              <w:t xml:space="preserve">Skills</w:t>
            </w: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559.3448818897637"/>
              <w:gridCol w:w="25.85196850393686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Agile Project Management</w:t>
                  </w:r>
                </w:p>
              </w:tc>
            </w:tr>
            <w:tr>
              <w:tc>
                <w:tcPr>
                  <w:shd w:fill="FFFFFF" w:val="clear" w:color="auto"/>
                  <w:tcW w:w="2559.3448818897637" w:type="dxa"/>
                  <w:tcW w:w="2559.344881889763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5.85196850393686" w:type="dxa"/>
                  <w:tcW w:w="25.8519685039368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559.3448818897637"/>
              <w:gridCol w:w="25.85196850393686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Project Delivery</w:t>
                  </w:r>
                </w:p>
              </w:tc>
            </w:tr>
            <w:tr>
              <w:tc>
                <w:tcPr>
                  <w:shd w:fill="FFFFFF" w:val="clear" w:color="auto"/>
                  <w:tcW w:w="2559.3448818897637" w:type="dxa"/>
                  <w:tcW w:w="2559.344881889763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5.85196850393686" w:type="dxa"/>
                  <w:tcW w:w="25.8519685039368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559.3448818897637"/>
              <w:gridCol w:w="25.85196850393686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SAP Solution Architect</w:t>
                  </w:r>
                </w:p>
              </w:tc>
            </w:tr>
            <w:tr>
              <w:tc>
                <w:tcPr>
                  <w:shd w:fill="FFFFFF" w:val="clear" w:color="auto"/>
                  <w:tcW w:w="2559.3448818897637" w:type="dxa"/>
                  <w:tcW w:w="2559.344881889763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5.85196850393686" w:type="dxa"/>
                  <w:tcW w:w="25.8519685039368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559.3448818897637"/>
              <w:gridCol w:w="25.85196850393686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SAP FICO</w:t>
                  </w:r>
                </w:p>
              </w:tc>
            </w:tr>
            <w:tr>
              <w:tc>
                <w:tcPr>
                  <w:shd w:fill="FFFFFF" w:val="clear" w:color="auto"/>
                  <w:tcW w:w="2559.3448818897637" w:type="dxa"/>
                  <w:tcW w:w="2559.344881889763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5.85196850393686" w:type="dxa"/>
                  <w:tcW w:w="25.8519685039368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559.3448818897637"/>
              <w:gridCol w:w="25.85196850393686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SAP Licensing </w:t>
                  </w:r>
                </w:p>
              </w:tc>
            </w:tr>
            <w:tr>
              <w:tc>
                <w:tcPr>
                  <w:shd w:fill="FFFFFF" w:val="clear" w:color="auto"/>
                  <w:tcW w:w="2559.3448818897637" w:type="dxa"/>
                  <w:tcW w:w="2559.344881889763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5.85196850393686" w:type="dxa"/>
                  <w:tcW w:w="25.8519685039368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042.3055118110235"/>
              <w:gridCol w:w="542.891338582677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SAP Global Rollout</w:t>
                  </w:r>
                </w:p>
              </w:tc>
            </w:tr>
            <w:tr>
              <w:tc>
                <w:tcPr>
                  <w:shd w:fill="FFFFFF" w:val="clear" w:color="auto"/>
                  <w:tcW w:w="2042.3055118110235" w:type="dxa"/>
                  <w:tcW w:w="2042.305511811023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5D80" w:val="clear" w:color="auto"/>
                  <w:tcW w:w="542.891338582677" w:type="dxa"/>
                  <w:tcW w:w="542.89133858267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p>
            <w:pPr>
              <w:pStyle w:val="Heading3"/>
            </w:pPr>
            <w:r>
              <w:t xml:space="preserve">Languages</w:t>
            </w: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042.3055118110235"/>
              <w:gridCol w:w="542.891338582677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English</w:t>
                  </w:r>
                </w:p>
              </w:tc>
            </w:tr>
            <w:tr>
              <w:tc>
                <w:tcPr>
                  <w:shd w:fill="FFFFFF" w:val="clear" w:color="auto"/>
                  <w:tcW w:w="2042.3055118110235" w:type="dxa"/>
                  <w:tcW w:w="2042.305511811023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5D80" w:val="clear" w:color="auto"/>
                  <w:tcW w:w="542.891338582677" w:type="dxa"/>
                  <w:tcW w:w="542.89133858267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585.1968503937005"/>
            </w:tblPr>
            <w:tblGrid>
              <w:gridCol w:w="2559.3448818897637"/>
              <w:gridCol w:w="25.85196850393686"/>
            </w:tblGrid>
            <w:tr>
              <w:tc>
                <w:tcPr>
                  <w:gridSpan w:val="2"/>
                  <w:tcW w:w="2585.1968503937005" w:type="dxa"/>
                  <w:tcW w:w="2585.1968503937005" w:type="dxa"/>
                </w:tcPr>
                <w:p>
                  <w:pPr>
                    <w:pStyle w:val="SkillTitle"/>
                  </w:pPr>
                  <w:r>
                    <w:t xml:space="preserve">Hindi</w:t>
                  </w:r>
                </w:p>
              </w:tc>
            </w:tr>
            <w:tr>
              <w:tc>
                <w:tcPr>
                  <w:shd w:fill="FFFFFF" w:val="clear" w:color="auto"/>
                  <w:tcW w:w="2559.3448818897637" w:type="dxa"/>
                  <w:tcW w:w="2559.344881889763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5.85196850393686" w:type="dxa"/>
                  <w:tcW w:w="25.8519685039368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p>
            <w:pPr>
              <w:pStyle w:val="Heading3"/>
            </w:pPr>
            <w:r>
              <w:t xml:space="preserve">Hobbies</w:t>
            </w:r>
          </w:p>
          <w:p>
            <w:pPr>
              <w:pStyle w:val="SidebarText"/>
            </w:pPr>
            <w:r>
              <w:t xml:space="preserve">Cycling , Swimming</w:t>
            </w:r>
          </w:p>
        </w:tc>
      </w:tr>
    </w:tbl>
    <w:sectPr>
      <w:pgSz w:w="11906" w:h="16838" w:orient="portrait"/>
      <w:pgMar w:top="952.4409448818897" w:right="793.7007874015746" w:bottom="793.7007874015746" w:left="844.7244094488188" w:header="0" w:footer="0" w:gutter="0" w:mirrorMargins="false"/>
      <w:cols w:space="708" w:num="1"/>
      <w:docGrid w:linePitch="360"/>
      <w:headerReference w:type="default" r:id="rId5"/>
      <w:footerReference w:type="default" r:id="rId6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Style w:val="Empty"/>
    </w:pPr>
    <w:r>
      <w:drawing>
        <wp:anchor distT="0" distB="0" distL="0" distR="0" simplePos="0" allowOverlap="1" behindDoc="1" locked="0" layoutInCell="1" relativeHeight="1076325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2457450" cy="10763250"/>
          <wp:effectExtent b="0" l="0" r="0" t="0"/>
          <wp:wrapNone/>
          <wp:docPr id="0" name="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ext cx="2457450" cy="10763250"/>
                    <a:off x="0" y="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lvl w:ilvl="0" w15:tentative="1">
      <w:start w:val="1"/>
      <w:lvlJc w:val="left"/>
      <w:numFmt w:val="bullet"/>
      <w:lvlText w:val="●"/>
      <w:pPr>
        <w:ind w:left="720" w:hanging="360"/>
      </w:pPr>
    </w:lvl>
    <w:lvl w:ilvl="1" w15:tentative="1">
      <w:start w:val="1"/>
      <w:lvlJc w:val="left"/>
      <w:numFmt w:val="bullet"/>
      <w:lvlText w:val="○"/>
      <w:pPr>
        <w:ind w:left="1440" w:hanging="360"/>
      </w:pPr>
    </w:lvl>
    <w:lvl w:ilvl="2" w15:tentative="1">
      <w:start w:val="1"/>
      <w:lvlJc w:val="left"/>
      <w:numFmt w:val="bullet"/>
      <w:lvlText w:val="■"/>
      <w:pPr>
        <w:ind w:left="2160" w:hanging="360"/>
      </w:pPr>
    </w:lvl>
    <w:lvl w:ilvl="3" w15:tentative="1">
      <w:start w:val="1"/>
      <w:lvlJc w:val="left"/>
      <w:numFmt w:val="bullet"/>
      <w:lvlText w:val="●"/>
      <w:pPr>
        <w:ind w:left="2880" w:hanging="360"/>
      </w:pPr>
    </w:lvl>
    <w:lvl w:ilvl="4" w15:tentative="1">
      <w:start w:val="1"/>
      <w:lvlJc w:val="left"/>
      <w:numFmt w:val="bullet"/>
      <w:lvlText w:val="○"/>
      <w:pPr>
        <w:ind w:left="3600" w:hanging="360"/>
      </w:pPr>
    </w:lvl>
    <w:lvl w:ilvl="5" w15:tentative="1">
      <w:start w:val="1"/>
      <w:lvlJc w:val="left"/>
      <w:numFmt w:val="bullet"/>
      <w:lvlText w:val="■"/>
      <w:pPr>
        <w:ind w:left="4320" w:hanging="360"/>
      </w:pPr>
    </w:lvl>
    <w:lvl w:ilvl="6" w15:tentative="1">
      <w:start w:val="1"/>
      <w:lvlJc w:val="left"/>
      <w:numFmt w:val="bullet"/>
      <w:lvlText w:val="●"/>
      <w:pPr>
        <w:ind w:left="5040" w:hanging="360"/>
      </w:pPr>
    </w:lvl>
    <w:lvl w:ilvl="7" w15:tentative="1">
      <w:start w:val="1"/>
      <w:lvlJc w:val="left"/>
      <w:numFmt w:val="bullet"/>
      <w:lvlText w:val="●"/>
      <w:pPr>
        <w:ind w:left="5760" w:hanging="360"/>
      </w:pPr>
    </w:lvl>
    <w:lvl w:ilvl="8" w15:tentative="1">
      <w:start w:val="1"/>
      <w:lvlJc w:val="left"/>
      <w:numFmt w:val="bullet"/>
      <w:lvlText w:val="●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rPr>
      <w:sz w:val="56"/>
      <w:szCs w:val="56"/>
    </w:rPr>
    <w:basedOn w:val="Normal"/>
    <w:next w:val="Normal"/>
    <w:qFormat/>
  </w:style>
  <w:style w:type="paragraph" w:styleId="Heading1">
    <w:name w:val="Heading 1"/>
    <w:rPr>
      <w:color w:val="2E74B5"/>
      <w:sz w:val="32"/>
      <w:szCs w:val="32"/>
    </w:rPr>
    <w:basedOn w:val="Normal"/>
    <w:next w:val="Normal"/>
    <w:qFormat/>
  </w:style>
  <w:style w:type="paragraph" w:styleId="Heading2">
    <w:name w:val="Heading 2"/>
    <w:rPr>
      <w:color w:val="2E74B5"/>
      <w:sz w:val="26"/>
      <w:szCs w:val="26"/>
    </w:rPr>
    <w:basedOn w:val="Normal"/>
    <w:next w:val="Normal"/>
    <w:qFormat/>
  </w:style>
  <w:style w:type="paragraph" w:styleId="Heading3">
    <w:name w:val="Heading 3"/>
    <w:rPr>
      <w:color w:val="1F4D78"/>
      <w:sz w:val="24"/>
      <w:szCs w:val="24"/>
    </w:rPr>
    <w:basedOn w:val="Normal"/>
    <w:next w:val="Normal"/>
    <w:qFormat/>
  </w:style>
  <w:style w:type="paragraph" w:styleId="Heading4">
    <w:name w:val="Heading 4"/>
    <w:rPr>
      <w:i w:val="true"/>
      <w:iCs w:val="true"/>
      <w:color w:val="2E74B5"/>
    </w:rPr>
    <w:basedOn w:val="Normal"/>
    <w:next w:val="Normal"/>
    <w:qFormat/>
  </w:style>
  <w:style w:type="paragraph" w:styleId="Heading5">
    <w:name w:val="Heading 5"/>
    <w:rPr>
      <w:color w:val="2E74B5"/>
    </w:rPr>
    <w:basedOn w:val="Normal"/>
    <w:next w:val="Normal"/>
    <w:qFormat/>
  </w:style>
  <w:style w:type="paragraph" w:styleId="Heading6">
    <w:name w:val="Heading 6"/>
    <w:rPr>
      <w:color w:val="1F4D78"/>
    </w:rPr>
    <w:basedOn w:val="Normal"/>
    <w:next w:val="Normal"/>
    <w:qFormat/>
  </w:style>
  <w:style w:type="paragraph" w:styleId="ListParagraph">
    <w:name w:val="List Paragraph"/>
    <w:basedOn w:val="Normal"/>
    <w:qFormat/>
  </w:style>
  <w:style w:type="character" w:styleId="Hyperlink">
    <w:name w:val="Hyperlink"/>
    <w:rPr>
      <w:u w:val="single"/>
      <w:color w:val="0563C1"/>
    </w:rPr>
    <w:uiPriority w:val="99"/>
    <w:unhideWhenUsed/>
    <w:basedOn w:val="DefaultParagraphFont"/>
  </w:style>
  <w:style w:type="character" w:styleId="FootnoteReference">
    <w:name w:val="footnote reference"/>
    <w:rPr>
      <w:vertAlign w:val="superscript"/>
    </w:rPr>
    <w:uiPriority w:val="99"/>
    <w:unhideWhenUsed/>
    <w:basedOn w:val="DefaultParagraphFont"/>
    <w:semiHidden/>
  </w:style>
  <w:style w:type="paragraph" w:styleId="FootnoteText">
    <w:name w:val="footnote text"/>
    <w:pPr>
      <w:spacing w:after="0" w:line="240" w:lineRule="auto"/>
    </w:pPr>
    <w:rPr>
      <w:sz w:val="20"/>
      <w:szCs w:val="20"/>
    </w:rPr>
    <w:basedOn w:val="Normal"/>
    <w:link w:val="FootnoteTextChar"/>
    <w:semiHidden/>
    <w:uiPriority w:val="99"/>
    <w:unhideWhenUsed/>
  </w:style>
  <w:style w:type="character" w:styleId="FootnoteTextChar">
    <w:name w:val="Footnote Text Char"/>
    <w:rPr>
      <w:sz w:val="20"/>
      <w:szCs w:val="20"/>
    </w:rPr>
    <w:uiPriority w:val="99"/>
    <w:unhideWhenUsed/>
    <w:basedOn w:val="DefaultParagraphFont"/>
    <w:link w:val="FootnoteText"/>
    <w:semiHidden/>
  </w:style>
  <w:style w:type="paragraph" w:styleId="Empty">
    <w:name w:val="Empty"/>
    <w:pPr>
      <w:spacing w:before="0" w:after="0" w:line="0"/>
    </w:pPr>
    <w:qFormat/>
  </w:style>
  <w:style w:type="paragraph" w:styleId="AvatarContainer">
    <w:name w:val="Avatar container"/>
    <w:rPr>
      <w:sz w:val="2"/>
      <w:szCs w:val="2"/>
    </w:rPr>
    <w:qFormat/>
  </w:style>
  <w:style w:type="paragraph" w:styleId="Normal">
    <w:name w:val="Normal"/>
    <w:pPr>
      <w:spacing w:before="80" w:after="80" w:line="264"/>
    </w:pPr>
    <w:rPr>
      <w:color w:val="3C3E43"/>
      <w:sz w:val="20"/>
      <w:szCs w:val="20"/>
      <w:rFonts w:ascii="Calibri" w:cs="Calibri" w:eastAsia="Calibri" w:hAnsi="Calibri"/>
    </w:rPr>
    <w:qFormat/>
  </w:style>
  <w:style w:type="paragraph" w:styleId="SidebarText">
    <w:name w:val="Sidebar text"/>
    <w:pPr>
      <w:spacing w:line="288"/>
    </w:pPr>
    <w:rPr>
      <w:color w:val="FFFFFF"/>
      <w:sz w:val="18"/>
      <w:szCs w:val="18"/>
      <w:rFonts w:ascii="Calibri" w:cs="Calibri" w:eastAsia="Calibri" w:hAnsi="Calibri"/>
    </w:rPr>
    <w:qFormat/>
  </w:style>
  <w:style w:type="paragraph" w:styleId="Heading1">
    <w:name w:val="Heading 1"/>
    <w:pPr>
      <w:spacing w:line="240" w:before="369.6" w:after="146.8"/>
    </w:pPr>
    <w:rPr>
      <w:b w:val="true"/>
      <w:bCs w:val="true"/>
      <w:color w:val="0B101C"/>
      <w:sz w:val="26"/>
      <w:szCs w:val="26"/>
      <w:rFonts w:ascii="Arial Narrow" w:cs="Arial Narrow" w:eastAsia="Arial Narrow" w:hAnsi="Arial Narrow"/>
    </w:rPr>
    <w:basedOn w:val="Normal"/>
    <w:next w:val="Normal"/>
    <w:qFormat/>
  </w:style>
  <w:style w:type="paragraph" w:styleId="Heading2">
    <w:name w:val="Heading 2"/>
    <w:pPr>
      <w:spacing w:line="240" w:before="191.4"/>
    </w:pPr>
    <w:rPr>
      <w:b w:val="true"/>
      <w:bCs w:val="true"/>
      <w:color w:val="0B101C"/>
      <w:sz w:val="21"/>
      <w:szCs w:val="21"/>
    </w:rPr>
    <w:basedOn w:val="Normal"/>
    <w:next w:val="Normal"/>
    <w:qFormat/>
  </w:style>
  <w:style w:type="paragraph" w:styleId="Heading3">
    <w:name w:val="Heading 3"/>
    <w:pPr>
      <w:spacing w:before="396" w:line="240" w:after="158.4"/>
    </w:pPr>
    <w:rPr>
      <w:b w:val="true"/>
      <w:bCs w:val="true"/>
      <w:color w:val="FFFFFF"/>
      <w:sz w:val="22"/>
      <w:szCs w:val="22"/>
      <w:rFonts w:ascii="Arial Narrow" w:cs="Arial Narrow" w:eastAsia="Arial Narrow" w:hAnsi="Arial Narrow"/>
    </w:rPr>
    <w:basedOn w:val="Normal"/>
    <w:next w:val="Normal"/>
    <w:qFormat/>
  </w:style>
  <w:style w:type="paragraph" w:styleId="Heading4">
    <w:name w:val="Heading 4"/>
    <w:pPr>
      <w:spacing w:before="198" w:line="240" w:after="66"/>
    </w:pPr>
    <w:rPr>
      <w:color w:val="55779A"/>
      <w:sz w:val="14"/>
      <w:szCs w:val="14"/>
      <w:caps w:val="true"/>
      <w:spacing w:val="20"/>
    </w:rPr>
    <w:basedOn w:val="Normal"/>
    <w:next w:val="Normal"/>
    <w:qFormat/>
  </w:style>
  <w:style w:type="paragraph" w:styleId="Date">
    <w:name w:val="Date"/>
    <w:pPr>
      <w:spacing w:line="288"/>
    </w:pPr>
    <w:rPr>
      <w:color w:val="98A1B3"/>
      <w:sz w:val="14"/>
      <w:szCs w:val="14"/>
      <w:caps w:val="true"/>
      <w:spacing w:val="20"/>
    </w:rPr>
    <w:basedOn w:val="Normal"/>
    <w:next w:val="Date"/>
    <w:qFormat/>
  </w:style>
  <w:style w:type="paragraph" w:styleId="Name">
    <w:name w:val="Name"/>
    <w:pPr>
      <w:spacing w:line="240" w:before="0" w:after="105.60000000000001"/>
    </w:pPr>
    <w:rPr>
      <w:b w:val="true"/>
      <w:bCs w:val="true"/>
      <w:color w:val="0B101C"/>
      <w:sz w:val="44"/>
      <w:szCs w:val="44"/>
      <w:rFonts w:ascii="Arial Narrow" w:cs="Arial Narrow" w:eastAsia="Arial Narrow" w:hAnsi="Arial Narrow"/>
    </w:rPr>
    <w:basedOn w:val="Normal"/>
    <w:next w:val="Normal"/>
    <w:qFormat/>
  </w:style>
  <w:style w:type="paragraph" w:styleId="JobTitle">
    <w:name w:val="Job Title"/>
    <w:pPr>
      <w:spacing w:line="240" w:before="0" w:after="0"/>
    </w:pPr>
    <w:rPr>
      <w:color w:val="0B101C"/>
      <w:sz w:val="14"/>
      <w:szCs w:val="14"/>
      <w:caps w:val="true"/>
      <w:spacing w:val="20"/>
    </w:rPr>
    <w:basedOn w:val="Normal"/>
    <w:next w:val="Normal"/>
    <w:qFormat/>
  </w:style>
  <w:style w:type="paragraph" w:styleId="SkillTitle">
    <w:name w:val="Skill Title"/>
    <w:pPr>
      <w:spacing w:before="0" w:after="52.800000000000004" w:line="240"/>
    </w:pPr>
    <w:rPr>
      <w:color w:val="FFFFFF"/>
      <w:sz w:val="18"/>
      <w:szCs w:val="18"/>
    </w:rPr>
    <w:basedOn w:val="Normal"/>
    <w:next w:val="Normal"/>
    <w:qFormat/>
  </w:style>
  <w:style w:type="paragraph" w:styleId="SkillSpacing">
    <w:name w:val="Skill Spacing"/>
    <w:pPr>
      <w:spacing w:before="0" w:after="158.4" w:line="0"/>
    </w:pPr>
    <w:qFormat/>
  </w:style>
  <w:style w:type="paragraph" w:styleId="SkillBar">
    <w:name w:val="Skill Bar"/>
    <w:pPr>
      <w:spacing w:line="60" w:before="0" w:after="0"/>
    </w:pPr>
    <w:rPr>
      <w:color w:val="082A4D"/>
    </w:rPr>
    <w:basedOn w:val="Normal"/>
    <w:next w:val="Normal"/>
    <w:qFormat/>
  </w:style>
  <w:style w:type="paragraph" w:styleId="SidebarTopSpace">
    <w:name w:val="Sidebar top space"/>
    <w:pPr>
      <w:spacing w:line="0" w:before="937.2" w:after="0"/>
    </w:pPr>
    <w:basedOn w:val="Normal"/>
    <w:next w:val="Normal"/>
    <w:qFormat/>
  </w:style>
  <w:style w:type="character" w:styleId="Hyperlink">
    <w:name w:val="Hyperlink"/>
    <w:rPr>
      <w:u w:val="single" w:color="082A4D"/>
      <w:color w:val="082A4D"/>
    </w:rPr>
    <w:uiPriority w:val="99"/>
    <w:unhideWhenUsed/>
  </w:style>
  <w:style w:type="character" w:styleId="SidebarLink">
    <w:name w:val="Hyperlink sidebar"/>
    <w:rPr>
      <w:u w:val="single" w:color="FFFFFF"/>
      <w:color w:val="FFFFFF"/>
    </w:rPr>
    <w:uiPriority w:val="99"/>
    <w:unhideWhenUsed/>
  </w:style>
</w:styles>
</file>

<file path=word/_rels/document.xml.rels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47022" Type="http://schemas.openxmlformats.org/officeDocument/2006/relationships/hyperlink" Target="https://www.linkedin.com/in/ravi-dev" TargetMode="External"/><Relationship Id="rId30946" Type="http://schemas.openxmlformats.org/officeDocument/2006/relationships/hyperlink" Target="mailto:Email -sundev003@gmail.com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9" Type="http://schemas.openxmlformats.org/officeDocument/2006/relationships/image" Target="media/j8ot52ypdekascxvxz8hv8.png"/><Relationship Id="rId10" Type="http://schemas.openxmlformats.org/officeDocument/2006/relationships/image" Target="media/2souy7zsm2onkx9ho0h4em.png"/></Relationships>
</file>

<file path=word/_rels/footer1.xml.rels><Relationships xmlns="http://schemas.openxmlformats.org/package/2006/relationships"/>
</file>

<file path=word/_rels/header1.xml.rels><Relationships xmlns="http://schemas.openxmlformats.org/package/2006/relationships"><Relationship Id="rId0" Type="http://schemas.openxmlformats.org/officeDocument/2006/relationships/image" Target="media/bvel2h3zimrsemx3zxkkr9.png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2022-07-03T10:48:45Z</dcterms:created>
  <dcterms:modified xsi:type="dcterms:W3CDTF">2022-07-03T10:48:45Z</dcterms:modified>
</cp:coreProperties>
</file>