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F9BF80" w14:textId="5CA8E219" w:rsidR="006A70C6" w:rsidRPr="00BF598A" w:rsidRDefault="00C810CD" w:rsidP="00BF598A">
      <w:pPr>
        <w:pStyle w:val="Heading2"/>
        <w:jc w:val="center"/>
        <w:rPr>
          <w:b/>
          <w:bCs/>
        </w:rPr>
      </w:pPr>
      <w:r w:rsidRPr="00BF598A">
        <w:rPr>
          <w:b/>
          <w:bCs/>
        </w:rPr>
        <w:t>Case</w:t>
      </w:r>
      <w:r w:rsidR="006A70C6" w:rsidRPr="00BF598A">
        <w:rPr>
          <w:b/>
          <w:bCs/>
        </w:rPr>
        <w:t>-2</w:t>
      </w:r>
    </w:p>
    <w:p w14:paraId="643453BC" w14:textId="77777777" w:rsidR="006A70C6" w:rsidRDefault="006A70C6">
      <w:pPr>
        <w:rPr>
          <w:rFonts w:ascii="Times" w:hAnsi="Times"/>
          <w:sz w:val="20"/>
          <w:szCs w:val="20"/>
        </w:rPr>
      </w:pPr>
    </w:p>
    <w:p w14:paraId="467D4304" w14:textId="1819CD3F" w:rsidR="006A70C6" w:rsidRDefault="006A70C6" w:rsidP="00F961C2">
      <w:pPr>
        <w:jc w:val="both"/>
        <w:rPr>
          <w:rFonts w:ascii="Times" w:hAnsi="Times"/>
          <w:sz w:val="20"/>
          <w:szCs w:val="20"/>
        </w:rPr>
      </w:pPr>
      <w:r>
        <w:rPr>
          <w:rFonts w:ascii="Times" w:hAnsi="Times"/>
          <w:sz w:val="20"/>
          <w:szCs w:val="20"/>
        </w:rPr>
        <w:t xml:space="preserve">There are two project proposals from a remote forest area from </w:t>
      </w:r>
      <w:r w:rsidR="004910B5">
        <w:rPr>
          <w:rFonts w:ascii="Times" w:hAnsi="Times"/>
          <w:sz w:val="20"/>
          <w:szCs w:val="20"/>
        </w:rPr>
        <w:t>Bihar</w:t>
      </w:r>
      <w:r>
        <w:rPr>
          <w:rFonts w:ascii="Times" w:hAnsi="Times"/>
          <w:sz w:val="20"/>
          <w:szCs w:val="20"/>
        </w:rPr>
        <w:t>. Under the present (NDA) government’s policy outlook, the risk profile for both the projects looks to be same and the cooperative bank mandated to give subsidized loan would extend the required capital for the project @ of 3% p.a.</w:t>
      </w:r>
    </w:p>
    <w:p w14:paraId="4E80C39F" w14:textId="63AD98A9" w:rsidR="00F961C2" w:rsidRDefault="006A70C6" w:rsidP="00F961C2">
      <w:pPr>
        <w:jc w:val="both"/>
        <w:rPr>
          <w:rFonts w:ascii="Times" w:hAnsi="Times"/>
          <w:sz w:val="20"/>
          <w:szCs w:val="20"/>
        </w:rPr>
      </w:pPr>
      <w:r>
        <w:rPr>
          <w:rFonts w:ascii="Times" w:hAnsi="Times"/>
          <w:sz w:val="20"/>
          <w:szCs w:val="20"/>
        </w:rPr>
        <w:t xml:space="preserve">In, case the </w:t>
      </w:r>
      <w:r w:rsidR="00C810CD">
        <w:rPr>
          <w:rFonts w:ascii="Times" w:hAnsi="Times"/>
          <w:sz w:val="20"/>
          <w:szCs w:val="20"/>
        </w:rPr>
        <w:t>UPA/INDIA</w:t>
      </w:r>
      <w:r>
        <w:rPr>
          <w:rFonts w:ascii="Times" w:hAnsi="Times"/>
          <w:sz w:val="20"/>
          <w:szCs w:val="20"/>
        </w:rPr>
        <w:t xml:space="preserve"> wins the election</w:t>
      </w:r>
      <w:r w:rsidR="00F961C2">
        <w:rPr>
          <w:rFonts w:ascii="Times" w:hAnsi="Times"/>
          <w:sz w:val="20"/>
          <w:szCs w:val="20"/>
        </w:rPr>
        <w:t>s</w:t>
      </w:r>
      <w:r>
        <w:rPr>
          <w:rFonts w:ascii="Times" w:hAnsi="Times"/>
          <w:sz w:val="20"/>
          <w:szCs w:val="20"/>
        </w:rPr>
        <w:t xml:space="preserve">, </w:t>
      </w:r>
      <w:r w:rsidR="00F961C2">
        <w:rPr>
          <w:rFonts w:ascii="Times" w:hAnsi="Times"/>
          <w:sz w:val="20"/>
          <w:szCs w:val="20"/>
        </w:rPr>
        <w:t xml:space="preserve">they may change the risk profiling of the second project from current LOW to HIGH resulting in change of cost of capital for the project #2 from current 3% to 6%. </w:t>
      </w:r>
    </w:p>
    <w:p w14:paraId="3CDD9C6E" w14:textId="77777777" w:rsidR="00F961C2" w:rsidRDefault="00F961C2" w:rsidP="00F961C2">
      <w:pPr>
        <w:jc w:val="both"/>
        <w:rPr>
          <w:rFonts w:ascii="Times" w:hAnsi="Times"/>
          <w:sz w:val="20"/>
          <w:szCs w:val="20"/>
        </w:rPr>
      </w:pPr>
    </w:p>
    <w:p w14:paraId="1CC6F07E" w14:textId="77777777" w:rsidR="006A70C6" w:rsidRDefault="00F961C2" w:rsidP="00F961C2">
      <w:pPr>
        <w:jc w:val="both"/>
        <w:rPr>
          <w:rFonts w:ascii="Times" w:hAnsi="Times"/>
          <w:sz w:val="20"/>
          <w:szCs w:val="20"/>
        </w:rPr>
      </w:pPr>
      <w:r>
        <w:rPr>
          <w:rFonts w:ascii="Times" w:hAnsi="Times"/>
          <w:sz w:val="20"/>
          <w:szCs w:val="20"/>
        </w:rPr>
        <w:t>Does your decision to invest in one of these projects change after the change of regime in the state capital?</w:t>
      </w:r>
    </w:p>
    <w:p w14:paraId="1704E506" w14:textId="77777777" w:rsidR="00F961C2" w:rsidRDefault="00F961C2">
      <w:pPr>
        <w:rPr>
          <w:rFonts w:ascii="Times" w:hAnsi="Times"/>
          <w:sz w:val="20"/>
          <w:szCs w:val="20"/>
        </w:rPr>
      </w:pPr>
    </w:p>
    <w:p w14:paraId="31D2C317" w14:textId="43C4ED4A" w:rsidR="00F961C2" w:rsidRDefault="00D36DFB">
      <w:pPr>
        <w:rPr>
          <w:rFonts w:ascii="Times" w:hAnsi="Times"/>
          <w:sz w:val="20"/>
          <w:szCs w:val="20"/>
        </w:rPr>
      </w:pPr>
      <w:r>
        <w:rPr>
          <w:rFonts w:ascii="Times" w:hAnsi="Times"/>
          <w:sz w:val="20"/>
          <w:szCs w:val="20"/>
        </w:rPr>
        <w:t xml:space="preserve">The respective project expected cash flows are outlined in </w:t>
      </w:r>
      <w:r w:rsidRPr="00E47285">
        <w:rPr>
          <w:rFonts w:ascii="Garamond" w:hAnsi="Garamond" w:cs="Garamond"/>
          <w:b/>
          <w:bCs/>
          <w:sz w:val="20"/>
          <w:szCs w:val="20"/>
        </w:rPr>
        <w:t xml:space="preserve">Exhibit </w:t>
      </w:r>
      <w:r>
        <w:rPr>
          <w:rFonts w:ascii="Garamond" w:hAnsi="Garamond" w:cs="Garamond"/>
          <w:b/>
          <w:bCs/>
          <w:sz w:val="20"/>
          <w:szCs w:val="20"/>
        </w:rPr>
        <w:t xml:space="preserve">2 </w:t>
      </w:r>
      <w:r>
        <w:rPr>
          <w:rFonts w:ascii="Times" w:hAnsi="Times"/>
          <w:sz w:val="20"/>
          <w:szCs w:val="20"/>
        </w:rPr>
        <w:t xml:space="preserve">below. </w:t>
      </w:r>
      <w:r w:rsidR="00F961C2">
        <w:rPr>
          <w:rFonts w:ascii="Times" w:hAnsi="Times"/>
          <w:sz w:val="20"/>
          <w:szCs w:val="20"/>
        </w:rPr>
        <w:t>Pl. Note that Project #1 &amp; #2 are mutually exclusive projects.</w:t>
      </w:r>
    </w:p>
    <w:p w14:paraId="7D930DC3" w14:textId="77777777" w:rsidR="006A70C6" w:rsidRDefault="006A70C6">
      <w:pPr>
        <w:rPr>
          <w:rFonts w:ascii="Times" w:hAnsi="Times"/>
          <w:sz w:val="20"/>
          <w:szCs w:val="20"/>
        </w:rPr>
      </w:pPr>
    </w:p>
    <w:p w14:paraId="697CAD9F" w14:textId="77777777" w:rsidR="00D36DFB" w:rsidRDefault="00D36DFB">
      <w:pPr>
        <w:rPr>
          <w:rFonts w:ascii="Times" w:hAnsi="Times"/>
          <w:sz w:val="20"/>
          <w:szCs w:val="20"/>
        </w:rPr>
      </w:pPr>
    </w:p>
    <w:p w14:paraId="0D83EBD4" w14:textId="5EC0E593" w:rsidR="006A70C6" w:rsidRDefault="00D36DFB">
      <w:pPr>
        <w:rPr>
          <w:rFonts w:ascii="Times" w:hAnsi="Times"/>
          <w:sz w:val="20"/>
          <w:szCs w:val="20"/>
        </w:rPr>
      </w:pPr>
      <w:r w:rsidRPr="00E47285">
        <w:rPr>
          <w:rFonts w:ascii="Garamond" w:hAnsi="Garamond" w:cs="Garamond"/>
          <w:b/>
          <w:bCs/>
          <w:sz w:val="20"/>
          <w:szCs w:val="20"/>
        </w:rPr>
        <w:t xml:space="preserve">Exhibit </w:t>
      </w:r>
      <w:r>
        <w:rPr>
          <w:rFonts w:ascii="Garamond" w:hAnsi="Garamond" w:cs="Garamond"/>
          <w:b/>
          <w:bCs/>
          <w:sz w:val="20"/>
          <w:szCs w:val="20"/>
        </w:rPr>
        <w:t>2</w:t>
      </w:r>
    </w:p>
    <w:tbl>
      <w:tblPr>
        <w:tblW w:w="5000" w:type="pct"/>
        <w:tblLook w:val="04A0" w:firstRow="1" w:lastRow="0" w:firstColumn="1" w:lastColumn="0" w:noHBand="0" w:noVBand="1"/>
      </w:tblPr>
      <w:tblGrid>
        <w:gridCol w:w="2501"/>
        <w:gridCol w:w="2924"/>
        <w:gridCol w:w="3205"/>
      </w:tblGrid>
      <w:tr w:rsidR="006A70C6" w:rsidRPr="003C4E1C" w14:paraId="6829830D" w14:textId="77777777" w:rsidTr="00E73304">
        <w:trPr>
          <w:trHeight w:hRule="exact" w:val="284"/>
        </w:trPr>
        <w:tc>
          <w:tcPr>
            <w:tcW w:w="1449" w:type="pct"/>
            <w:tcBorders>
              <w:top w:val="single" w:sz="4" w:space="0" w:color="auto"/>
              <w:left w:val="single" w:sz="4" w:space="0" w:color="auto"/>
              <w:bottom w:val="single" w:sz="4" w:space="0" w:color="auto"/>
              <w:right w:val="single" w:sz="4" w:space="0" w:color="auto"/>
            </w:tcBorders>
            <w:shd w:val="clear" w:color="000000" w:fill="DDD9C4"/>
            <w:noWrap/>
            <w:vAlign w:val="bottom"/>
            <w:hideMark/>
          </w:tcPr>
          <w:p w14:paraId="18FACC68" w14:textId="77777777" w:rsidR="006A70C6" w:rsidRPr="003C4E1C" w:rsidRDefault="006A70C6" w:rsidP="006A70C6">
            <w:pP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Project</w:t>
            </w:r>
          </w:p>
        </w:tc>
        <w:tc>
          <w:tcPr>
            <w:tcW w:w="1694" w:type="pct"/>
            <w:tcBorders>
              <w:top w:val="single" w:sz="4" w:space="0" w:color="auto"/>
              <w:left w:val="single" w:sz="4" w:space="0" w:color="auto"/>
              <w:bottom w:val="single" w:sz="4" w:space="0" w:color="auto"/>
              <w:right w:val="single" w:sz="4" w:space="0" w:color="auto"/>
            </w:tcBorders>
            <w:shd w:val="clear" w:color="000000" w:fill="DDD9C4"/>
            <w:noWrap/>
            <w:vAlign w:val="center"/>
            <w:hideMark/>
          </w:tcPr>
          <w:p w14:paraId="68806195"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w:t>
            </w:r>
            <w:r w:rsidRPr="003C4E1C">
              <w:rPr>
                <w:rFonts w:ascii="Calibri" w:eastAsia="Times New Roman" w:hAnsi="Calibri" w:cs="Times New Roman"/>
                <w:color w:val="000000"/>
                <w:sz w:val="20"/>
                <w:lang w:val="en-IN"/>
              </w:rPr>
              <w:t>1</w:t>
            </w:r>
          </w:p>
        </w:tc>
        <w:tc>
          <w:tcPr>
            <w:tcW w:w="1857" w:type="pct"/>
            <w:tcBorders>
              <w:top w:val="single" w:sz="4" w:space="0" w:color="auto"/>
              <w:left w:val="single" w:sz="4" w:space="0" w:color="auto"/>
              <w:bottom w:val="single" w:sz="4" w:space="0" w:color="auto"/>
              <w:right w:val="single" w:sz="4" w:space="0" w:color="auto"/>
            </w:tcBorders>
            <w:shd w:val="clear" w:color="000000" w:fill="DDD9C4"/>
            <w:noWrap/>
            <w:vAlign w:val="center"/>
            <w:hideMark/>
          </w:tcPr>
          <w:p w14:paraId="202C8CFD"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w:t>
            </w:r>
            <w:r w:rsidRPr="003C4E1C">
              <w:rPr>
                <w:rFonts w:ascii="Calibri" w:eastAsia="Times New Roman" w:hAnsi="Calibri" w:cs="Times New Roman"/>
                <w:color w:val="000000"/>
                <w:sz w:val="20"/>
                <w:lang w:val="en-IN"/>
              </w:rPr>
              <w:t>2</w:t>
            </w:r>
          </w:p>
        </w:tc>
      </w:tr>
      <w:tr w:rsidR="006A70C6" w:rsidRPr="003C4E1C" w14:paraId="56F3C41F" w14:textId="77777777" w:rsidTr="00E73304">
        <w:trPr>
          <w:trHeight w:hRule="exact" w:val="284"/>
        </w:trPr>
        <w:tc>
          <w:tcPr>
            <w:tcW w:w="1449" w:type="pct"/>
            <w:tcBorders>
              <w:top w:val="single" w:sz="8" w:space="0" w:color="auto"/>
              <w:left w:val="single" w:sz="8" w:space="0" w:color="auto"/>
              <w:bottom w:val="single" w:sz="4" w:space="0" w:color="auto"/>
              <w:right w:val="single" w:sz="4" w:space="0" w:color="auto"/>
            </w:tcBorders>
            <w:shd w:val="clear" w:color="000000" w:fill="F2DCDB"/>
            <w:noWrap/>
            <w:vAlign w:val="bottom"/>
            <w:hideMark/>
          </w:tcPr>
          <w:p w14:paraId="1B956BF5"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Initial Investment</w:t>
            </w:r>
          </w:p>
        </w:tc>
        <w:tc>
          <w:tcPr>
            <w:tcW w:w="1694" w:type="pct"/>
            <w:tcBorders>
              <w:top w:val="single" w:sz="8" w:space="0" w:color="auto"/>
              <w:left w:val="nil"/>
              <w:bottom w:val="single" w:sz="8" w:space="0" w:color="auto"/>
              <w:right w:val="single" w:sz="4" w:space="0" w:color="auto"/>
            </w:tcBorders>
            <w:shd w:val="clear" w:color="000000" w:fill="F2DCDB"/>
            <w:noWrap/>
            <w:vAlign w:val="bottom"/>
            <w:hideMark/>
          </w:tcPr>
          <w:p w14:paraId="4E5B4E80"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w:t>
            </w:r>
            <w:r>
              <w:rPr>
                <w:rFonts w:ascii="Calibri" w:eastAsia="Times New Roman" w:hAnsi="Calibri" w:cs="Times New Roman"/>
                <w:color w:val="000000"/>
                <w:sz w:val="20"/>
                <w:lang w:val="en-IN"/>
              </w:rPr>
              <w:t>3</w:t>
            </w:r>
            <w:r w:rsidRPr="003C4E1C">
              <w:rPr>
                <w:rFonts w:ascii="Calibri" w:eastAsia="Times New Roman" w:hAnsi="Calibri" w:cs="Times New Roman"/>
                <w:color w:val="000000"/>
                <w:sz w:val="20"/>
                <w:lang w:val="en-IN"/>
              </w:rPr>
              <w:t>,</w:t>
            </w: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w:t>
            </w:r>
          </w:p>
        </w:tc>
        <w:tc>
          <w:tcPr>
            <w:tcW w:w="1857" w:type="pct"/>
            <w:tcBorders>
              <w:top w:val="single" w:sz="8" w:space="0" w:color="auto"/>
              <w:left w:val="nil"/>
              <w:bottom w:val="single" w:sz="8" w:space="0" w:color="auto"/>
              <w:right w:val="single" w:sz="4" w:space="0" w:color="auto"/>
            </w:tcBorders>
            <w:shd w:val="clear" w:color="000000" w:fill="F2DCDB"/>
            <w:noWrap/>
            <w:vAlign w:val="bottom"/>
            <w:hideMark/>
          </w:tcPr>
          <w:p w14:paraId="1FDF5CB1" w14:textId="24BB24FE" w:rsidR="006A70C6" w:rsidRPr="003C4E1C" w:rsidRDefault="00C810CD"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w:t>
            </w:r>
            <w:r w:rsidR="006A70C6">
              <w:rPr>
                <w:rFonts w:ascii="Calibri" w:eastAsia="Times New Roman" w:hAnsi="Calibri" w:cs="Times New Roman"/>
                <w:color w:val="000000"/>
                <w:sz w:val="20"/>
                <w:lang w:val="en-IN"/>
              </w:rPr>
              <w:t>5</w:t>
            </w:r>
            <w:r w:rsidR="006A70C6" w:rsidRPr="003C4E1C">
              <w:rPr>
                <w:rFonts w:ascii="Calibri" w:eastAsia="Times New Roman" w:hAnsi="Calibri" w:cs="Times New Roman"/>
                <w:color w:val="000000"/>
                <w:sz w:val="20"/>
                <w:lang w:val="en-IN"/>
              </w:rPr>
              <w:t>,000</w:t>
            </w:r>
          </w:p>
        </w:tc>
      </w:tr>
      <w:tr w:rsidR="000E3603" w:rsidRPr="003C4E1C" w14:paraId="65C66F9B" w14:textId="77777777" w:rsidTr="000E3603">
        <w:trPr>
          <w:trHeight w:hRule="exact" w:val="284"/>
        </w:trPr>
        <w:tc>
          <w:tcPr>
            <w:tcW w:w="1449" w:type="pct"/>
            <w:tcBorders>
              <w:top w:val="single" w:sz="4" w:space="0" w:color="auto"/>
              <w:left w:val="single" w:sz="4" w:space="0" w:color="auto"/>
              <w:bottom w:val="single" w:sz="4" w:space="0" w:color="auto"/>
              <w:right w:val="nil"/>
            </w:tcBorders>
            <w:shd w:val="clear" w:color="auto" w:fill="auto"/>
            <w:noWrap/>
            <w:vAlign w:val="bottom"/>
            <w:hideMark/>
          </w:tcPr>
          <w:p w14:paraId="60B7C096" w14:textId="77777777" w:rsidR="000E3603" w:rsidRPr="003C4E1C" w:rsidRDefault="000E3603"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Year</w:t>
            </w:r>
          </w:p>
        </w:tc>
        <w:tc>
          <w:tcPr>
            <w:tcW w:w="3551" w:type="pct"/>
            <w:gridSpan w:val="2"/>
            <w:tcBorders>
              <w:top w:val="nil"/>
              <w:left w:val="single" w:sz="4" w:space="0" w:color="auto"/>
              <w:bottom w:val="nil"/>
              <w:right w:val="single" w:sz="4" w:space="0" w:color="auto"/>
            </w:tcBorders>
            <w:shd w:val="clear" w:color="000000" w:fill="FFFFFF"/>
            <w:noWrap/>
            <w:vAlign w:val="bottom"/>
            <w:hideMark/>
          </w:tcPr>
          <w:p w14:paraId="1132D29C" w14:textId="77777777" w:rsidR="000E3603" w:rsidRPr="003C4E1C" w:rsidRDefault="000E3603" w:rsidP="006A70C6">
            <w:pPr>
              <w:jc w:val="center"/>
              <w:rPr>
                <w:rFonts w:ascii="Calibri" w:eastAsia="Times New Roman" w:hAnsi="Calibri" w:cs="Times New Roman"/>
                <w:color w:val="000000"/>
                <w:sz w:val="20"/>
                <w:lang w:val="en-IN"/>
              </w:rPr>
            </w:pPr>
          </w:p>
        </w:tc>
      </w:tr>
      <w:tr w:rsidR="006A70C6" w:rsidRPr="003C4E1C" w14:paraId="774C7AB2" w14:textId="77777777" w:rsidTr="00E73304">
        <w:trPr>
          <w:trHeight w:hRule="exact" w:val="284"/>
        </w:trPr>
        <w:tc>
          <w:tcPr>
            <w:tcW w:w="1449" w:type="pct"/>
            <w:tcBorders>
              <w:top w:val="single" w:sz="4" w:space="0" w:color="auto"/>
              <w:left w:val="single" w:sz="8" w:space="0" w:color="auto"/>
              <w:bottom w:val="single" w:sz="4" w:space="0" w:color="auto"/>
              <w:right w:val="single" w:sz="4" w:space="0" w:color="auto"/>
            </w:tcBorders>
            <w:shd w:val="clear" w:color="000000" w:fill="F2F2F2"/>
            <w:noWrap/>
            <w:vAlign w:val="bottom"/>
            <w:hideMark/>
          </w:tcPr>
          <w:p w14:paraId="08B46B59"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1</w:t>
            </w:r>
          </w:p>
        </w:tc>
        <w:tc>
          <w:tcPr>
            <w:tcW w:w="1694" w:type="pct"/>
            <w:tcBorders>
              <w:top w:val="single" w:sz="8" w:space="0" w:color="auto"/>
              <w:left w:val="nil"/>
              <w:bottom w:val="single" w:sz="4" w:space="0" w:color="auto"/>
              <w:right w:val="single" w:sz="4" w:space="0" w:color="auto"/>
            </w:tcBorders>
            <w:shd w:val="clear" w:color="000000" w:fill="F2F2F2"/>
            <w:noWrap/>
            <w:vAlign w:val="bottom"/>
            <w:hideMark/>
          </w:tcPr>
          <w:p w14:paraId="0C86E73D"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c>
          <w:tcPr>
            <w:tcW w:w="1857" w:type="pct"/>
            <w:tcBorders>
              <w:top w:val="single" w:sz="8" w:space="0" w:color="auto"/>
              <w:left w:val="nil"/>
              <w:bottom w:val="single" w:sz="4" w:space="0" w:color="auto"/>
              <w:right w:val="single" w:sz="4" w:space="0" w:color="auto"/>
            </w:tcBorders>
            <w:shd w:val="clear" w:color="000000" w:fill="FDE9D9"/>
            <w:noWrap/>
            <w:vAlign w:val="bottom"/>
            <w:hideMark/>
          </w:tcPr>
          <w:p w14:paraId="2E61C197"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r>
      <w:tr w:rsidR="006A70C6" w:rsidRPr="003C4E1C" w14:paraId="3F459B1C" w14:textId="77777777" w:rsidTr="00E73304">
        <w:trPr>
          <w:trHeight w:hRule="exact" w:val="284"/>
        </w:trPr>
        <w:tc>
          <w:tcPr>
            <w:tcW w:w="1449" w:type="pct"/>
            <w:tcBorders>
              <w:top w:val="nil"/>
              <w:left w:val="single" w:sz="8" w:space="0" w:color="auto"/>
              <w:bottom w:val="single" w:sz="4" w:space="0" w:color="auto"/>
              <w:right w:val="single" w:sz="4" w:space="0" w:color="auto"/>
            </w:tcBorders>
            <w:shd w:val="clear" w:color="000000" w:fill="F2F2F2"/>
            <w:noWrap/>
            <w:vAlign w:val="bottom"/>
            <w:hideMark/>
          </w:tcPr>
          <w:p w14:paraId="4C0BEB62"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2</w:t>
            </w:r>
          </w:p>
        </w:tc>
        <w:tc>
          <w:tcPr>
            <w:tcW w:w="1694" w:type="pct"/>
            <w:tcBorders>
              <w:top w:val="single" w:sz="8" w:space="0" w:color="auto"/>
              <w:left w:val="nil"/>
              <w:bottom w:val="single" w:sz="4" w:space="0" w:color="auto"/>
              <w:right w:val="single" w:sz="4" w:space="0" w:color="auto"/>
            </w:tcBorders>
            <w:shd w:val="clear" w:color="000000" w:fill="F2F2F2"/>
            <w:noWrap/>
            <w:vAlign w:val="bottom"/>
            <w:hideMark/>
          </w:tcPr>
          <w:p w14:paraId="0051FE06"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c>
          <w:tcPr>
            <w:tcW w:w="1857" w:type="pct"/>
            <w:tcBorders>
              <w:top w:val="nil"/>
              <w:left w:val="nil"/>
              <w:bottom w:val="single" w:sz="4" w:space="0" w:color="auto"/>
              <w:right w:val="single" w:sz="4" w:space="0" w:color="auto"/>
            </w:tcBorders>
            <w:shd w:val="clear" w:color="000000" w:fill="FDE9D9"/>
            <w:noWrap/>
            <w:vAlign w:val="bottom"/>
            <w:hideMark/>
          </w:tcPr>
          <w:p w14:paraId="648AE37A"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5,000</w:t>
            </w:r>
          </w:p>
        </w:tc>
      </w:tr>
      <w:tr w:rsidR="006A70C6" w:rsidRPr="003C4E1C" w14:paraId="7FFABE90" w14:textId="77777777" w:rsidTr="00E73304">
        <w:trPr>
          <w:trHeight w:hRule="exact" w:val="284"/>
        </w:trPr>
        <w:tc>
          <w:tcPr>
            <w:tcW w:w="1449" w:type="pct"/>
            <w:tcBorders>
              <w:top w:val="nil"/>
              <w:left w:val="single" w:sz="8" w:space="0" w:color="auto"/>
              <w:bottom w:val="single" w:sz="4" w:space="0" w:color="auto"/>
              <w:right w:val="single" w:sz="4" w:space="0" w:color="auto"/>
            </w:tcBorders>
            <w:shd w:val="clear" w:color="000000" w:fill="F2F2F2"/>
            <w:noWrap/>
            <w:vAlign w:val="bottom"/>
            <w:hideMark/>
          </w:tcPr>
          <w:p w14:paraId="6C5C5696"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3</w:t>
            </w:r>
          </w:p>
        </w:tc>
        <w:tc>
          <w:tcPr>
            <w:tcW w:w="1694" w:type="pct"/>
            <w:tcBorders>
              <w:top w:val="single" w:sz="8" w:space="0" w:color="auto"/>
              <w:left w:val="nil"/>
              <w:bottom w:val="single" w:sz="4" w:space="0" w:color="auto"/>
              <w:right w:val="single" w:sz="4" w:space="0" w:color="auto"/>
            </w:tcBorders>
            <w:shd w:val="clear" w:color="000000" w:fill="F2F2F2"/>
            <w:noWrap/>
            <w:vAlign w:val="bottom"/>
            <w:hideMark/>
          </w:tcPr>
          <w:p w14:paraId="2D72BB65"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c>
          <w:tcPr>
            <w:tcW w:w="1857" w:type="pct"/>
            <w:tcBorders>
              <w:top w:val="nil"/>
              <w:left w:val="nil"/>
              <w:bottom w:val="single" w:sz="4" w:space="0" w:color="auto"/>
              <w:right w:val="single" w:sz="4" w:space="0" w:color="auto"/>
            </w:tcBorders>
            <w:shd w:val="clear" w:color="000000" w:fill="FDE9D9"/>
            <w:noWrap/>
            <w:vAlign w:val="bottom"/>
            <w:hideMark/>
          </w:tcPr>
          <w:p w14:paraId="258BD1C2"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r>
      <w:tr w:rsidR="006A70C6" w:rsidRPr="003C4E1C" w14:paraId="242963FD" w14:textId="77777777" w:rsidTr="00E73304">
        <w:trPr>
          <w:trHeight w:hRule="exact" w:val="284"/>
        </w:trPr>
        <w:tc>
          <w:tcPr>
            <w:tcW w:w="1449" w:type="pct"/>
            <w:tcBorders>
              <w:top w:val="nil"/>
              <w:left w:val="single" w:sz="8" w:space="0" w:color="auto"/>
              <w:bottom w:val="single" w:sz="4" w:space="0" w:color="auto"/>
              <w:right w:val="single" w:sz="4" w:space="0" w:color="auto"/>
            </w:tcBorders>
            <w:shd w:val="clear" w:color="000000" w:fill="F2F2F2"/>
            <w:noWrap/>
            <w:vAlign w:val="bottom"/>
            <w:hideMark/>
          </w:tcPr>
          <w:p w14:paraId="516D9844"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4</w:t>
            </w:r>
          </w:p>
        </w:tc>
        <w:tc>
          <w:tcPr>
            <w:tcW w:w="1694" w:type="pct"/>
            <w:tcBorders>
              <w:top w:val="single" w:sz="8" w:space="0" w:color="auto"/>
              <w:left w:val="nil"/>
              <w:bottom w:val="single" w:sz="4" w:space="0" w:color="auto"/>
              <w:right w:val="single" w:sz="4" w:space="0" w:color="auto"/>
            </w:tcBorders>
            <w:shd w:val="clear" w:color="000000" w:fill="F2F2F2"/>
            <w:noWrap/>
            <w:vAlign w:val="bottom"/>
          </w:tcPr>
          <w:p w14:paraId="74774F94" w14:textId="77777777" w:rsidR="006A70C6" w:rsidRPr="003C4E1C" w:rsidRDefault="006A70C6" w:rsidP="006A70C6">
            <w:pPr>
              <w:jc w:val="center"/>
              <w:rPr>
                <w:rFonts w:ascii="Calibri" w:eastAsia="Times New Roman" w:hAnsi="Calibri" w:cs="Times New Roman"/>
                <w:color w:val="000000"/>
                <w:sz w:val="20"/>
                <w:lang w:val="en-IN"/>
              </w:rPr>
            </w:pPr>
          </w:p>
        </w:tc>
        <w:tc>
          <w:tcPr>
            <w:tcW w:w="1857" w:type="pct"/>
            <w:tcBorders>
              <w:top w:val="nil"/>
              <w:left w:val="nil"/>
              <w:bottom w:val="single" w:sz="4" w:space="0" w:color="auto"/>
              <w:right w:val="single" w:sz="4" w:space="0" w:color="auto"/>
            </w:tcBorders>
            <w:shd w:val="clear" w:color="000000" w:fill="FDE9D9"/>
            <w:noWrap/>
            <w:vAlign w:val="bottom"/>
            <w:hideMark/>
          </w:tcPr>
          <w:p w14:paraId="2034C9AB"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r>
      <w:tr w:rsidR="006A70C6" w:rsidRPr="003C4E1C" w14:paraId="6FDB12B1" w14:textId="77777777" w:rsidTr="00E73304">
        <w:trPr>
          <w:trHeight w:hRule="exact" w:val="284"/>
        </w:trPr>
        <w:tc>
          <w:tcPr>
            <w:tcW w:w="1449" w:type="pct"/>
            <w:tcBorders>
              <w:top w:val="nil"/>
              <w:left w:val="single" w:sz="8" w:space="0" w:color="auto"/>
              <w:bottom w:val="single" w:sz="4" w:space="0" w:color="auto"/>
              <w:right w:val="single" w:sz="4" w:space="0" w:color="auto"/>
            </w:tcBorders>
            <w:shd w:val="clear" w:color="000000" w:fill="F2F2F2"/>
            <w:noWrap/>
            <w:vAlign w:val="bottom"/>
            <w:hideMark/>
          </w:tcPr>
          <w:p w14:paraId="62EDA398" w14:textId="77777777" w:rsidR="006A70C6" w:rsidRPr="003C4E1C" w:rsidRDefault="006A70C6" w:rsidP="006A70C6">
            <w:pPr>
              <w:jc w:val="center"/>
              <w:rPr>
                <w:rFonts w:ascii="Calibri" w:eastAsia="Times New Roman" w:hAnsi="Calibri" w:cs="Times New Roman"/>
                <w:color w:val="000000"/>
                <w:sz w:val="20"/>
                <w:lang w:val="en-IN"/>
              </w:rPr>
            </w:pPr>
            <w:r w:rsidRPr="003C4E1C">
              <w:rPr>
                <w:rFonts w:ascii="Calibri" w:eastAsia="Times New Roman" w:hAnsi="Calibri" w:cs="Times New Roman"/>
                <w:color w:val="000000"/>
                <w:sz w:val="20"/>
                <w:lang w:val="en-IN"/>
              </w:rPr>
              <w:t>5</w:t>
            </w:r>
          </w:p>
        </w:tc>
        <w:tc>
          <w:tcPr>
            <w:tcW w:w="1694" w:type="pct"/>
            <w:tcBorders>
              <w:top w:val="single" w:sz="8" w:space="0" w:color="auto"/>
              <w:left w:val="nil"/>
              <w:bottom w:val="single" w:sz="4" w:space="0" w:color="auto"/>
              <w:right w:val="single" w:sz="4" w:space="0" w:color="auto"/>
            </w:tcBorders>
            <w:shd w:val="clear" w:color="000000" w:fill="F2F2F2"/>
            <w:noWrap/>
            <w:vAlign w:val="bottom"/>
          </w:tcPr>
          <w:p w14:paraId="51A9F162" w14:textId="77777777" w:rsidR="006A70C6" w:rsidRPr="003C4E1C" w:rsidRDefault="006A70C6" w:rsidP="006A70C6">
            <w:pPr>
              <w:jc w:val="center"/>
              <w:rPr>
                <w:rFonts w:ascii="Calibri" w:eastAsia="Times New Roman" w:hAnsi="Calibri" w:cs="Times New Roman"/>
                <w:color w:val="000000"/>
                <w:sz w:val="20"/>
                <w:lang w:val="en-IN"/>
              </w:rPr>
            </w:pPr>
          </w:p>
        </w:tc>
        <w:tc>
          <w:tcPr>
            <w:tcW w:w="1857" w:type="pct"/>
            <w:tcBorders>
              <w:top w:val="nil"/>
              <w:left w:val="nil"/>
              <w:bottom w:val="single" w:sz="4" w:space="0" w:color="auto"/>
              <w:right w:val="single" w:sz="4" w:space="0" w:color="auto"/>
            </w:tcBorders>
            <w:shd w:val="clear" w:color="000000" w:fill="FDE9D9"/>
            <w:noWrap/>
            <w:vAlign w:val="bottom"/>
            <w:hideMark/>
          </w:tcPr>
          <w:p w14:paraId="7F9E1D68" w14:textId="77777777" w:rsidR="006A70C6" w:rsidRPr="003C4E1C" w:rsidRDefault="006A70C6" w:rsidP="006A70C6">
            <w:pPr>
              <w:jc w:val="center"/>
              <w:rPr>
                <w:rFonts w:ascii="Calibri" w:eastAsia="Times New Roman" w:hAnsi="Calibri" w:cs="Times New Roman"/>
                <w:color w:val="000000"/>
                <w:sz w:val="20"/>
                <w:lang w:val="en-IN"/>
              </w:rPr>
            </w:pPr>
            <w:r>
              <w:rPr>
                <w:rFonts w:ascii="Calibri" w:eastAsia="Times New Roman" w:hAnsi="Calibri" w:cs="Times New Roman"/>
                <w:color w:val="000000"/>
                <w:sz w:val="20"/>
                <w:lang w:val="en-IN"/>
              </w:rPr>
              <w:t>5</w:t>
            </w:r>
            <w:r w:rsidRPr="003C4E1C">
              <w:rPr>
                <w:rFonts w:ascii="Calibri" w:eastAsia="Times New Roman" w:hAnsi="Calibri" w:cs="Times New Roman"/>
                <w:color w:val="000000"/>
                <w:sz w:val="20"/>
                <w:lang w:val="en-IN"/>
              </w:rPr>
              <w:t>,000</w:t>
            </w:r>
          </w:p>
        </w:tc>
      </w:tr>
      <w:tr w:rsidR="006A70C6" w:rsidRPr="003C4E1C" w14:paraId="4BB8C003" w14:textId="77777777" w:rsidTr="00E73304">
        <w:trPr>
          <w:trHeight w:hRule="exact" w:val="284"/>
        </w:trPr>
        <w:tc>
          <w:tcPr>
            <w:tcW w:w="1449" w:type="pct"/>
            <w:tcBorders>
              <w:top w:val="nil"/>
              <w:left w:val="nil"/>
              <w:bottom w:val="nil"/>
              <w:right w:val="nil"/>
            </w:tcBorders>
            <w:shd w:val="clear" w:color="auto" w:fill="auto"/>
            <w:noWrap/>
            <w:vAlign w:val="bottom"/>
            <w:hideMark/>
          </w:tcPr>
          <w:p w14:paraId="42691081" w14:textId="77777777" w:rsidR="006A70C6" w:rsidRPr="003C4E1C" w:rsidRDefault="006A70C6" w:rsidP="006A70C6">
            <w:pPr>
              <w:rPr>
                <w:rFonts w:ascii="Calibri" w:eastAsia="Times New Roman" w:hAnsi="Calibri" w:cs="Times New Roman"/>
                <w:color w:val="000000"/>
                <w:lang w:val="en-IN"/>
              </w:rPr>
            </w:pPr>
          </w:p>
        </w:tc>
        <w:tc>
          <w:tcPr>
            <w:tcW w:w="1694" w:type="pct"/>
            <w:tcBorders>
              <w:top w:val="nil"/>
              <w:left w:val="nil"/>
              <w:bottom w:val="nil"/>
              <w:right w:val="nil"/>
            </w:tcBorders>
            <w:shd w:val="clear" w:color="auto" w:fill="auto"/>
            <w:noWrap/>
            <w:vAlign w:val="bottom"/>
            <w:hideMark/>
          </w:tcPr>
          <w:p w14:paraId="53AAF69C" w14:textId="77777777" w:rsidR="006A70C6" w:rsidRPr="003C4E1C" w:rsidRDefault="006A70C6" w:rsidP="006A70C6">
            <w:pPr>
              <w:rPr>
                <w:rFonts w:ascii="Calibri" w:eastAsia="Times New Roman" w:hAnsi="Calibri" w:cs="Times New Roman"/>
                <w:color w:val="000000"/>
                <w:lang w:val="en-IN"/>
              </w:rPr>
            </w:pPr>
          </w:p>
        </w:tc>
        <w:tc>
          <w:tcPr>
            <w:tcW w:w="1857" w:type="pct"/>
            <w:tcBorders>
              <w:top w:val="nil"/>
              <w:left w:val="nil"/>
              <w:bottom w:val="nil"/>
              <w:right w:val="nil"/>
            </w:tcBorders>
            <w:shd w:val="clear" w:color="auto" w:fill="auto"/>
            <w:noWrap/>
            <w:vAlign w:val="bottom"/>
            <w:hideMark/>
          </w:tcPr>
          <w:p w14:paraId="60C39F07" w14:textId="77777777" w:rsidR="006A70C6" w:rsidRPr="003C4E1C" w:rsidRDefault="006A70C6" w:rsidP="006A70C6">
            <w:pPr>
              <w:rPr>
                <w:rFonts w:ascii="Calibri" w:eastAsia="Times New Roman" w:hAnsi="Calibri" w:cs="Times New Roman"/>
                <w:color w:val="000000"/>
                <w:lang w:val="en-IN"/>
              </w:rPr>
            </w:pPr>
          </w:p>
        </w:tc>
      </w:tr>
    </w:tbl>
    <w:p w14:paraId="09AAFF38" w14:textId="77777777" w:rsidR="006A70C6" w:rsidRDefault="006A70C6">
      <w:pPr>
        <w:rPr>
          <w:rFonts w:ascii="Times" w:hAnsi="Times"/>
          <w:sz w:val="20"/>
          <w:szCs w:val="20"/>
        </w:rPr>
      </w:pPr>
    </w:p>
    <w:p w14:paraId="000DCFCE" w14:textId="77777777" w:rsidR="006A70C6" w:rsidRPr="00E47285" w:rsidRDefault="006A70C6">
      <w:pPr>
        <w:rPr>
          <w:rFonts w:ascii="Times" w:hAnsi="Times"/>
          <w:sz w:val="20"/>
          <w:szCs w:val="20"/>
        </w:rPr>
      </w:pPr>
    </w:p>
    <w:sectPr w:rsidR="006A70C6" w:rsidRPr="00E47285" w:rsidSect="00E47285">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Times">
    <w:panose1 w:val="00000500000000020000"/>
    <w:charset w:val="00"/>
    <w:family w:val="auto"/>
    <w:pitch w:val="variable"/>
    <w:sig w:usb0="E00002FF" w:usb1="5000205A" w:usb2="00000000" w:usb3="00000000" w:csb0="0000019F" w:csb1="00000000"/>
  </w:font>
  <w:font w:name="Garamond">
    <w:panose1 w:val="02020404030301010803"/>
    <w:charset w:val="00"/>
    <w:family w:val="roman"/>
    <w:pitch w:val="variable"/>
    <w:sig w:usb0="00000287" w:usb1="00000002"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8544137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285"/>
    <w:rsid w:val="000B6F1E"/>
    <w:rsid w:val="000D7C8F"/>
    <w:rsid w:val="000E3603"/>
    <w:rsid w:val="003C4E1C"/>
    <w:rsid w:val="004910B5"/>
    <w:rsid w:val="006A70C6"/>
    <w:rsid w:val="007B50CE"/>
    <w:rsid w:val="00930FA0"/>
    <w:rsid w:val="00BF598A"/>
    <w:rsid w:val="00C810CD"/>
    <w:rsid w:val="00D36DFB"/>
    <w:rsid w:val="00DF69EF"/>
    <w:rsid w:val="00E47285"/>
    <w:rsid w:val="00E73304"/>
    <w:rsid w:val="00F961C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3B1725"/>
  <w14:defaultImageDpi w14:val="300"/>
  <w15:docId w15:val="{6362B8D6-4F1C-492D-84B6-A9554BAF2B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BF598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4728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47285"/>
    <w:rPr>
      <w:rFonts w:ascii="Lucida Grande" w:hAnsi="Lucida Grande" w:cs="Lucida Grande"/>
      <w:sz w:val="18"/>
      <w:szCs w:val="18"/>
    </w:rPr>
  </w:style>
  <w:style w:type="character" w:customStyle="1" w:styleId="Heading2Char">
    <w:name w:val="Heading 2 Char"/>
    <w:basedOn w:val="DefaultParagraphFont"/>
    <w:link w:val="Heading2"/>
    <w:uiPriority w:val="9"/>
    <w:rsid w:val="00BF598A"/>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55487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dc:creator>
  <cp:keywords/>
  <dc:description/>
  <cp:lastModifiedBy>Mohammad Shameem Jawed</cp:lastModifiedBy>
  <cp:revision>4</cp:revision>
  <cp:lastPrinted>2018-12-02T14:27:00Z</cp:lastPrinted>
  <dcterms:created xsi:type="dcterms:W3CDTF">2025-04-13T05:49:00Z</dcterms:created>
  <dcterms:modified xsi:type="dcterms:W3CDTF">2025-04-13T05:50:00Z</dcterms:modified>
</cp:coreProperties>
</file>