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2F6" w:rsidRPr="003332A9" w:rsidRDefault="001522F6" w:rsidP="001522F6">
      <w:pPr>
        <w:autoSpaceDE w:val="0"/>
        <w:autoSpaceDN w:val="0"/>
        <w:adjustRightInd w:val="0"/>
        <w:jc w:val="center"/>
        <w:rPr>
          <w:rFonts w:cstheme="minorHAnsi"/>
          <w:b/>
          <w:color w:val="231F20"/>
          <w:u w:val="single"/>
        </w:rPr>
      </w:pPr>
      <w:r w:rsidRPr="003332A9">
        <w:rPr>
          <w:rFonts w:cstheme="minorHAnsi"/>
          <w:b/>
          <w:color w:val="231F20"/>
          <w:u w:val="single"/>
        </w:rPr>
        <w:t>COST OF CAPITAL</w:t>
      </w:r>
    </w:p>
    <w:p w:rsidR="001522F6" w:rsidRDefault="001522F6" w:rsidP="001522F6">
      <w:pPr>
        <w:autoSpaceDE w:val="0"/>
        <w:autoSpaceDN w:val="0"/>
        <w:adjustRightInd w:val="0"/>
        <w:jc w:val="both"/>
        <w:rPr>
          <w:rFonts w:cstheme="minorHAnsi"/>
          <w:color w:val="231F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LL Incorporated’s currently outstanding 11% coupon bonds have a yield to maturity   of 8%.  LL believes it could issue new bonds at par that would provide a similar yield to maturity. If its marginal tax rate is 35%, what is LL’s after-tax cost of debt?</w:t>
      </w:r>
    </w:p>
    <w:p w:rsidR="001522F6" w:rsidRPr="003332A9" w:rsidRDefault="001522F6" w:rsidP="001522F6">
      <w:pPr>
        <w:jc w:val="both"/>
        <w:rPr>
          <w:rFonts w:cstheme="minorHAnsi"/>
          <w:color w:val="231F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proofErr w:type="spellStart"/>
      <w:r w:rsidRPr="004F07D0">
        <w:rPr>
          <w:rFonts w:ascii="Calibri" w:hAnsi="Calibri" w:cstheme="minorHAnsi"/>
          <w:color w:val="231F20"/>
          <w:sz w:val="20"/>
          <w:szCs w:val="20"/>
        </w:rPr>
        <w:t>Summerdahl</w:t>
      </w:r>
      <w:proofErr w:type="spellEnd"/>
      <w:r w:rsidRPr="004F07D0">
        <w:rPr>
          <w:rFonts w:ascii="Calibri" w:hAnsi="Calibri" w:cstheme="minorHAnsi"/>
          <w:color w:val="231F20"/>
          <w:sz w:val="20"/>
          <w:szCs w:val="20"/>
        </w:rPr>
        <w:t xml:space="preserve"> Resort’s common stock is currently trading at $36 a share. The stock is expected to pay a dividend of $3.00 a share at the end of the year (D</w:t>
      </w:r>
      <w:r w:rsidRPr="00A72F64">
        <w:rPr>
          <w:rFonts w:ascii="Calibri" w:hAnsi="Calibri" w:cstheme="minorHAnsi"/>
          <w:color w:val="231F20"/>
          <w:sz w:val="20"/>
          <w:szCs w:val="20"/>
          <w:vertAlign w:val="subscript"/>
        </w:rPr>
        <w:t>1</w:t>
      </w:r>
      <w:r w:rsidRPr="004F07D0">
        <w:rPr>
          <w:rFonts w:ascii="Calibri" w:hAnsi="Calibri" w:cstheme="minorHAnsi"/>
          <w:color w:val="231F20"/>
          <w:sz w:val="20"/>
          <w:szCs w:val="20"/>
        </w:rPr>
        <w:t xml:space="preserve"> = $3.00), and the dividend is expected to grow at a constant rate of 5% a year. What is its cost of common equity?</w:t>
      </w:r>
    </w:p>
    <w:p w:rsidR="001522F6" w:rsidRPr="004F07D0" w:rsidRDefault="001522F6" w:rsidP="001522F6">
      <w:pPr>
        <w:jc w:val="both"/>
        <w:rPr>
          <w:rFonts w:ascii="Calibri" w:hAnsi="Calibri" w:cstheme="minorHAnsi"/>
          <w:color w:val="231F20"/>
          <w:sz w:val="20"/>
          <w:szCs w:val="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proofErr w:type="spellStart"/>
      <w:r w:rsidRPr="004F07D0">
        <w:rPr>
          <w:rFonts w:ascii="Calibri" w:hAnsi="Calibri" w:cstheme="minorHAnsi"/>
          <w:color w:val="231F20"/>
          <w:sz w:val="20"/>
          <w:szCs w:val="20"/>
        </w:rPr>
        <w:t>Booher</w:t>
      </w:r>
      <w:proofErr w:type="spellEnd"/>
      <w:r w:rsidRPr="004F07D0">
        <w:rPr>
          <w:rFonts w:ascii="Calibri" w:hAnsi="Calibri" w:cstheme="minorHAnsi"/>
          <w:color w:val="231F20"/>
          <w:sz w:val="20"/>
          <w:szCs w:val="20"/>
        </w:rPr>
        <w:t xml:space="preserve"> Book Stores has a beta of 0.8. The yield on a 3-month T-bill is 4% and the yield on a 10-year T-bond is 6%. The market risk premium is 5.5%, and the return on an average stock in the market last year was 15%. What is the estimated cost of common equity using the CAPM?</w:t>
      </w:r>
    </w:p>
    <w:p w:rsidR="001522F6" w:rsidRPr="004F07D0" w:rsidRDefault="001522F6" w:rsidP="001522F6">
      <w:pPr>
        <w:jc w:val="both"/>
        <w:rPr>
          <w:rFonts w:ascii="Calibri" w:hAnsi="Calibri" w:cstheme="minorHAnsi"/>
          <w:color w:val="231F20"/>
          <w:sz w:val="20"/>
          <w:szCs w:val="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David Ortiz Motors has a target capital structure of 40% debt and 60% equity. The</w:t>
      </w:r>
      <w:r>
        <w:rPr>
          <w:rFonts w:ascii="Calibri" w:hAnsi="Calibri" w:cstheme="minorHAnsi"/>
          <w:color w:val="231F20"/>
          <w:sz w:val="20"/>
          <w:szCs w:val="20"/>
        </w:rPr>
        <w:t xml:space="preserve"> </w:t>
      </w:r>
      <w:r w:rsidRPr="004F07D0">
        <w:rPr>
          <w:rFonts w:ascii="Calibri" w:hAnsi="Calibri" w:cstheme="minorHAnsi"/>
          <w:color w:val="231F20"/>
          <w:sz w:val="20"/>
          <w:szCs w:val="20"/>
        </w:rPr>
        <w:t>yield to maturity on the company’s outstanding bonds is 9%, and the company’s tax rate is 40%. Ortiz’s CFO has calculated the company’s WACC as 9.96%. What is the company’s cost of equity capital?</w:t>
      </w:r>
    </w:p>
    <w:p w:rsidR="001522F6" w:rsidRPr="004F07D0" w:rsidRDefault="001522F6" w:rsidP="001522F6">
      <w:pPr>
        <w:jc w:val="both"/>
        <w:rPr>
          <w:rFonts w:ascii="Calibri" w:hAnsi="Calibri" w:cstheme="minorHAnsi"/>
          <w:color w:val="231F20"/>
          <w:sz w:val="20"/>
          <w:szCs w:val="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Radon Homes’ current EPS is $6.50. It was $4.42 five years ago. The company pays out 40% of its earnings as dividends, and the stock sells for $36.</w:t>
      </w:r>
    </w:p>
    <w:p w:rsidR="001522F6" w:rsidRPr="004F07D0" w:rsidRDefault="001522F6" w:rsidP="001522F6">
      <w:pPr>
        <w:pStyle w:val="ListParagraph"/>
        <w:numPr>
          <w:ilvl w:val="1"/>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 xml:space="preserve">Calculate the historical growth rate in earnings. </w:t>
      </w:r>
      <w:r w:rsidRPr="00A72F64">
        <w:rPr>
          <w:rFonts w:ascii="Calibri" w:hAnsi="Calibri" w:cstheme="minorHAnsi"/>
          <w:color w:val="231F20"/>
          <w:sz w:val="16"/>
          <w:szCs w:val="20"/>
        </w:rPr>
        <w:t>(Hint: This is a 5-year growth period.)</w:t>
      </w:r>
    </w:p>
    <w:p w:rsidR="001522F6" w:rsidRPr="004F07D0" w:rsidRDefault="001522F6" w:rsidP="001522F6">
      <w:pPr>
        <w:pStyle w:val="ListParagraph"/>
        <w:numPr>
          <w:ilvl w:val="1"/>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Calculate the next expected dividend per share, D</w:t>
      </w:r>
      <w:r w:rsidRPr="00A72F64">
        <w:rPr>
          <w:rFonts w:ascii="Calibri" w:hAnsi="Calibri" w:cstheme="minorHAnsi"/>
          <w:color w:val="231F20"/>
          <w:sz w:val="20"/>
          <w:szCs w:val="20"/>
          <w:vertAlign w:val="subscript"/>
        </w:rPr>
        <w:t>1</w:t>
      </w:r>
      <w:r w:rsidRPr="004F07D0">
        <w:rPr>
          <w:rFonts w:ascii="Calibri" w:hAnsi="Calibri" w:cstheme="minorHAnsi"/>
          <w:color w:val="231F20"/>
          <w:sz w:val="20"/>
          <w:szCs w:val="20"/>
        </w:rPr>
        <w:t>. (</w:t>
      </w:r>
      <w:r w:rsidRPr="00A72F64">
        <w:rPr>
          <w:rFonts w:ascii="Calibri" w:hAnsi="Calibri" w:cstheme="minorHAnsi"/>
          <w:color w:val="231F20"/>
          <w:sz w:val="16"/>
          <w:szCs w:val="20"/>
        </w:rPr>
        <w:t>Hint: D</w:t>
      </w:r>
      <w:r w:rsidRPr="00A72F64">
        <w:rPr>
          <w:rFonts w:ascii="Calibri" w:hAnsi="Calibri" w:cstheme="minorHAnsi"/>
          <w:color w:val="231F20"/>
          <w:sz w:val="16"/>
          <w:szCs w:val="20"/>
          <w:vertAlign w:val="subscript"/>
        </w:rPr>
        <w:t>0</w:t>
      </w:r>
      <w:r w:rsidRPr="00A72F64">
        <w:rPr>
          <w:rFonts w:ascii="Calibri" w:hAnsi="Calibri" w:cstheme="minorHAnsi"/>
          <w:color w:val="231F20"/>
          <w:sz w:val="16"/>
          <w:szCs w:val="20"/>
        </w:rPr>
        <w:t xml:space="preserve"> = 0.4($6.50) =$2.60.</w:t>
      </w:r>
      <w:r w:rsidRPr="004F07D0">
        <w:rPr>
          <w:rFonts w:ascii="Calibri" w:hAnsi="Calibri" w:cstheme="minorHAnsi"/>
          <w:color w:val="231F20"/>
          <w:sz w:val="20"/>
          <w:szCs w:val="20"/>
        </w:rPr>
        <w:t>) Assume that the past growth rate will continue.</w:t>
      </w:r>
    </w:p>
    <w:p w:rsidR="001522F6" w:rsidRPr="004F07D0" w:rsidRDefault="001522F6" w:rsidP="001522F6">
      <w:pPr>
        <w:pStyle w:val="ListParagraph"/>
        <w:numPr>
          <w:ilvl w:val="1"/>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 xml:space="preserve">What is Radon Homes’ cost of equity, </w:t>
      </w:r>
      <w:proofErr w:type="spellStart"/>
      <w:r w:rsidRPr="004F07D0">
        <w:rPr>
          <w:rFonts w:ascii="Calibri" w:hAnsi="Calibri" w:cstheme="minorHAnsi"/>
          <w:color w:val="231F20"/>
          <w:sz w:val="20"/>
          <w:szCs w:val="20"/>
        </w:rPr>
        <w:t>r</w:t>
      </w:r>
      <w:r w:rsidRPr="00A72F64">
        <w:rPr>
          <w:rFonts w:ascii="Calibri" w:hAnsi="Calibri" w:cstheme="minorHAnsi"/>
          <w:color w:val="231F20"/>
          <w:sz w:val="20"/>
          <w:szCs w:val="20"/>
          <w:vertAlign w:val="subscript"/>
        </w:rPr>
        <w:t>s</w:t>
      </w:r>
      <w:proofErr w:type="spellEnd"/>
      <w:r w:rsidRPr="004F07D0">
        <w:rPr>
          <w:rFonts w:ascii="Calibri" w:hAnsi="Calibri" w:cstheme="minorHAnsi"/>
          <w:color w:val="231F20"/>
          <w:sz w:val="20"/>
          <w:szCs w:val="20"/>
        </w:rPr>
        <w:t>?</w:t>
      </w:r>
    </w:p>
    <w:p w:rsidR="001522F6" w:rsidRPr="004F07D0" w:rsidRDefault="001522F6" w:rsidP="001522F6">
      <w:pPr>
        <w:autoSpaceDE w:val="0"/>
        <w:autoSpaceDN w:val="0"/>
        <w:adjustRightInd w:val="0"/>
        <w:jc w:val="both"/>
        <w:rPr>
          <w:rFonts w:ascii="Calibri" w:hAnsi="Calibri" w:cstheme="minorHAnsi"/>
          <w:color w:val="231F20"/>
          <w:sz w:val="20"/>
          <w:szCs w:val="20"/>
        </w:rPr>
      </w:pPr>
    </w:p>
    <w:p w:rsidR="001522F6" w:rsidRPr="00652D4E" w:rsidRDefault="001522F6" w:rsidP="001522F6">
      <w:pPr>
        <w:autoSpaceDE w:val="0"/>
        <w:autoSpaceDN w:val="0"/>
        <w:adjustRightInd w:val="0"/>
        <w:jc w:val="both"/>
        <w:rPr>
          <w:rFonts w:ascii="Calibri" w:hAnsi="Calibri" w:cstheme="minorHAnsi"/>
          <w:color w:val="231F20"/>
          <w:sz w:val="6"/>
          <w:szCs w:val="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Spencer Supplies’ stock is currently selling for $60 a share. The firm is expected to earn   $5.40 per share this year and to pay a year-end dividend of $3.60.</w:t>
      </w:r>
    </w:p>
    <w:p w:rsidR="001522F6" w:rsidRPr="004F07D0" w:rsidRDefault="001522F6" w:rsidP="001522F6">
      <w:pPr>
        <w:pStyle w:val="ListParagraph"/>
        <w:numPr>
          <w:ilvl w:val="1"/>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If investors require a 9% return, what rate of growth must be expected for Spencer?</w:t>
      </w:r>
    </w:p>
    <w:p w:rsidR="001522F6" w:rsidRPr="00A72F64" w:rsidRDefault="001522F6" w:rsidP="001522F6">
      <w:pPr>
        <w:pStyle w:val="ListParagraph"/>
        <w:numPr>
          <w:ilvl w:val="1"/>
          <w:numId w:val="1"/>
        </w:numPr>
        <w:autoSpaceDE w:val="0"/>
        <w:autoSpaceDN w:val="0"/>
        <w:adjustRightInd w:val="0"/>
        <w:jc w:val="both"/>
        <w:rPr>
          <w:rFonts w:ascii="Calibri" w:hAnsi="Calibri" w:cstheme="minorHAnsi"/>
          <w:color w:val="231F20"/>
          <w:sz w:val="16"/>
          <w:szCs w:val="20"/>
        </w:rPr>
      </w:pPr>
      <w:r w:rsidRPr="004F07D0">
        <w:rPr>
          <w:rFonts w:ascii="Calibri" w:hAnsi="Calibri" w:cstheme="minorHAnsi"/>
          <w:color w:val="231F20"/>
          <w:sz w:val="20"/>
          <w:szCs w:val="20"/>
        </w:rPr>
        <w:t>If Spencer reinvests earnings in projects with average returns equal to the stock’s expected rate of return, then what will be next year’s EPS?</w:t>
      </w:r>
      <w:r>
        <w:rPr>
          <w:rFonts w:ascii="Calibri" w:hAnsi="Calibri" w:cstheme="minorHAnsi"/>
          <w:color w:val="231F20"/>
          <w:sz w:val="20"/>
          <w:szCs w:val="20"/>
        </w:rPr>
        <w:t xml:space="preserve"> </w:t>
      </w:r>
      <w:r w:rsidRPr="00A72F64">
        <w:rPr>
          <w:rFonts w:ascii="Calibri" w:hAnsi="Calibri" w:cstheme="minorHAnsi"/>
          <w:color w:val="231F20"/>
          <w:sz w:val="16"/>
          <w:szCs w:val="20"/>
        </w:rPr>
        <w:t>(Hint: g = ROE × Retention ratio.)</w:t>
      </w:r>
    </w:p>
    <w:p w:rsidR="001522F6" w:rsidRPr="00652D4E" w:rsidRDefault="001522F6" w:rsidP="001522F6">
      <w:pPr>
        <w:autoSpaceDE w:val="0"/>
        <w:autoSpaceDN w:val="0"/>
        <w:adjustRightInd w:val="0"/>
        <w:jc w:val="both"/>
        <w:rPr>
          <w:rFonts w:ascii="Calibri" w:hAnsi="Calibri" w:cstheme="minorHAnsi"/>
          <w:color w:val="00395C"/>
          <w:sz w:val="18"/>
          <w:szCs w:val="20"/>
        </w:rPr>
      </w:pPr>
    </w:p>
    <w:p w:rsidR="001522F6" w:rsidRPr="00652D4E" w:rsidRDefault="001522F6" w:rsidP="001522F6">
      <w:pPr>
        <w:autoSpaceDE w:val="0"/>
        <w:autoSpaceDN w:val="0"/>
        <w:adjustRightInd w:val="0"/>
        <w:jc w:val="both"/>
        <w:rPr>
          <w:rFonts w:ascii="Calibri" w:hAnsi="Calibri" w:cstheme="minorHAnsi"/>
          <w:color w:val="00395C"/>
          <w:sz w:val="12"/>
          <w:szCs w:val="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proofErr w:type="spellStart"/>
      <w:r w:rsidRPr="004F07D0">
        <w:rPr>
          <w:rFonts w:ascii="Calibri" w:hAnsi="Calibri" w:cstheme="minorHAnsi"/>
          <w:color w:val="231F20"/>
          <w:sz w:val="20"/>
          <w:szCs w:val="20"/>
        </w:rPr>
        <w:t>Messman</w:t>
      </w:r>
      <w:proofErr w:type="spellEnd"/>
      <w:r w:rsidRPr="004F07D0">
        <w:rPr>
          <w:rFonts w:ascii="Calibri" w:hAnsi="Calibri" w:cstheme="minorHAnsi"/>
          <w:color w:val="231F20"/>
          <w:sz w:val="20"/>
          <w:szCs w:val="20"/>
        </w:rPr>
        <w:t xml:space="preserve"> Manufacturing will issue common stock to the public for $30. The expected dividend and the growth in dividends are $3.00 per share and 5%, respectively. If the flotation cost is 10% of the issue’s gross proceeds, what is the cost of external equity, r</w:t>
      </w:r>
      <w:r w:rsidRPr="004F07D0">
        <w:rPr>
          <w:rFonts w:ascii="Calibri" w:hAnsi="Calibri" w:cstheme="minorHAnsi"/>
          <w:color w:val="231F20"/>
          <w:sz w:val="20"/>
          <w:szCs w:val="20"/>
          <w:vertAlign w:val="subscript"/>
        </w:rPr>
        <w:t>e</w:t>
      </w:r>
      <w:r w:rsidRPr="004F07D0">
        <w:rPr>
          <w:rFonts w:ascii="Calibri" w:hAnsi="Calibri" w:cstheme="minorHAnsi"/>
          <w:color w:val="231F20"/>
          <w:sz w:val="20"/>
          <w:szCs w:val="20"/>
        </w:rPr>
        <w:t>?</w:t>
      </w:r>
    </w:p>
    <w:p w:rsidR="001522F6" w:rsidRPr="00652D4E" w:rsidRDefault="001522F6" w:rsidP="001522F6">
      <w:pPr>
        <w:autoSpaceDE w:val="0"/>
        <w:autoSpaceDN w:val="0"/>
        <w:adjustRightInd w:val="0"/>
        <w:jc w:val="both"/>
        <w:rPr>
          <w:rFonts w:ascii="Calibri" w:hAnsi="Calibri" w:cstheme="minorHAnsi"/>
          <w:color w:val="231F20"/>
          <w:szCs w:val="20"/>
        </w:rPr>
      </w:pPr>
    </w:p>
    <w:p w:rsidR="001522F6" w:rsidRPr="004F07D0" w:rsidRDefault="001522F6" w:rsidP="001522F6">
      <w:pPr>
        <w:pStyle w:val="ListParagraph"/>
        <w:numPr>
          <w:ilvl w:val="0"/>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 xml:space="preserve">On January 1, the total market value of the </w:t>
      </w:r>
      <w:proofErr w:type="spellStart"/>
      <w:r w:rsidRPr="004F07D0">
        <w:rPr>
          <w:rFonts w:ascii="Calibri" w:hAnsi="Calibri" w:cstheme="minorHAnsi"/>
          <w:color w:val="231F20"/>
          <w:sz w:val="20"/>
          <w:szCs w:val="20"/>
        </w:rPr>
        <w:t>Tysseland</w:t>
      </w:r>
      <w:proofErr w:type="spellEnd"/>
      <w:r w:rsidRPr="004F07D0">
        <w:rPr>
          <w:rFonts w:ascii="Calibri" w:hAnsi="Calibri" w:cstheme="minorHAnsi"/>
          <w:color w:val="231F20"/>
          <w:sz w:val="20"/>
          <w:szCs w:val="20"/>
        </w:rPr>
        <w:t xml:space="preserve"> Company was $60 million. During the year, the company plans to raise and invest $30 million in new projects. The firm’s present market value capital structure, shown below, is considered to be optimal. There is no short-term debt.</w:t>
      </w:r>
    </w:p>
    <w:p w:rsidR="001522F6" w:rsidRPr="004F07D0" w:rsidRDefault="001522F6" w:rsidP="001522F6">
      <w:pPr>
        <w:pStyle w:val="ListParagraph"/>
        <w:autoSpaceDE w:val="0"/>
        <w:autoSpaceDN w:val="0"/>
        <w:adjustRightInd w:val="0"/>
        <w:ind w:left="3600"/>
        <w:jc w:val="both"/>
        <w:rPr>
          <w:rFonts w:ascii="Calibri" w:hAnsi="Calibri" w:cstheme="minorHAnsi"/>
          <w:color w:val="231F20"/>
          <w:sz w:val="20"/>
          <w:szCs w:val="20"/>
        </w:rPr>
      </w:pPr>
      <w:r w:rsidRPr="004F07D0">
        <w:rPr>
          <w:rFonts w:ascii="Calibri" w:hAnsi="Calibri" w:cstheme="minorHAnsi"/>
          <w:color w:val="231F20"/>
          <w:sz w:val="20"/>
          <w:szCs w:val="20"/>
        </w:rPr>
        <w:t>Debt                                   $ 30,000,000</w:t>
      </w:r>
    </w:p>
    <w:p w:rsidR="001522F6" w:rsidRPr="004F07D0" w:rsidRDefault="001522F6" w:rsidP="001522F6">
      <w:pPr>
        <w:pStyle w:val="ListParagraph"/>
        <w:autoSpaceDE w:val="0"/>
        <w:autoSpaceDN w:val="0"/>
        <w:adjustRightInd w:val="0"/>
        <w:ind w:left="2160"/>
        <w:jc w:val="both"/>
        <w:rPr>
          <w:rFonts w:ascii="Calibri" w:hAnsi="Calibri" w:cstheme="minorHAnsi"/>
          <w:color w:val="231F20"/>
          <w:sz w:val="20"/>
          <w:szCs w:val="20"/>
        </w:rPr>
      </w:pPr>
      <w:r w:rsidRPr="004F07D0">
        <w:rPr>
          <w:rFonts w:ascii="Calibri" w:hAnsi="Calibri" w:cstheme="minorHAnsi"/>
          <w:color w:val="231F20"/>
          <w:sz w:val="20"/>
          <w:szCs w:val="20"/>
        </w:rPr>
        <w:t xml:space="preserve">                 Common equity                                 30,000,000</w:t>
      </w:r>
    </w:p>
    <w:p w:rsidR="001522F6" w:rsidRPr="004F07D0" w:rsidRDefault="001522F6" w:rsidP="001522F6">
      <w:p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 xml:space="preserve">                                                                                                                         -------------------</w:t>
      </w:r>
    </w:p>
    <w:p w:rsidR="001522F6" w:rsidRPr="004F07D0" w:rsidRDefault="001522F6" w:rsidP="001522F6">
      <w:pPr>
        <w:pStyle w:val="ListParagraph"/>
        <w:autoSpaceDE w:val="0"/>
        <w:autoSpaceDN w:val="0"/>
        <w:adjustRightInd w:val="0"/>
        <w:ind w:left="2880"/>
        <w:jc w:val="both"/>
        <w:rPr>
          <w:rFonts w:ascii="Calibri" w:hAnsi="Calibri" w:cstheme="minorHAnsi"/>
          <w:color w:val="231F20"/>
          <w:sz w:val="20"/>
          <w:szCs w:val="20"/>
        </w:rPr>
      </w:pPr>
      <w:r w:rsidRPr="004F07D0">
        <w:rPr>
          <w:rFonts w:ascii="Calibri" w:hAnsi="Calibri" w:cstheme="minorHAnsi"/>
          <w:color w:val="231F20"/>
          <w:sz w:val="20"/>
          <w:szCs w:val="20"/>
        </w:rPr>
        <w:t xml:space="preserve">    Total capital                                  $60,000,000</w:t>
      </w:r>
    </w:p>
    <w:p w:rsidR="001522F6" w:rsidRPr="00652D4E" w:rsidRDefault="001522F6" w:rsidP="001522F6">
      <w:pPr>
        <w:autoSpaceDE w:val="0"/>
        <w:autoSpaceDN w:val="0"/>
        <w:adjustRightInd w:val="0"/>
        <w:jc w:val="both"/>
        <w:rPr>
          <w:rFonts w:ascii="Calibri" w:hAnsi="Calibri" w:cstheme="minorHAnsi"/>
          <w:b/>
          <w:color w:val="231F20"/>
          <w:sz w:val="22"/>
          <w:szCs w:val="20"/>
        </w:rPr>
      </w:pPr>
    </w:p>
    <w:p w:rsidR="001522F6" w:rsidRPr="004F07D0" w:rsidRDefault="001522F6" w:rsidP="001522F6">
      <w:pPr>
        <w:pStyle w:val="ListParagraph"/>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New bonds will have an 8% coupon rate, and they will be sold at par. Common stock</w:t>
      </w:r>
      <w:r>
        <w:rPr>
          <w:rFonts w:ascii="Calibri" w:hAnsi="Calibri" w:cstheme="minorHAnsi"/>
          <w:color w:val="231F20"/>
          <w:sz w:val="20"/>
          <w:szCs w:val="20"/>
        </w:rPr>
        <w:t xml:space="preserve"> </w:t>
      </w:r>
      <w:r w:rsidRPr="004F07D0">
        <w:rPr>
          <w:rFonts w:ascii="Calibri" w:hAnsi="Calibri" w:cstheme="minorHAnsi"/>
          <w:color w:val="231F20"/>
          <w:sz w:val="20"/>
          <w:szCs w:val="20"/>
        </w:rPr>
        <w:t>is currently selling at $30 a share. The stockholders’ required rate of return is estimated to be 12%, consisting of a dividend yield of 4% and an expected constant growth rate of 8%. (The next expected dividend is $1.20, so the dividend yield is</w:t>
      </w:r>
    </w:p>
    <w:p w:rsidR="001522F6" w:rsidRPr="004F07D0" w:rsidRDefault="001522F6" w:rsidP="001522F6">
      <w:pPr>
        <w:pStyle w:val="ListParagraph"/>
        <w:jc w:val="both"/>
        <w:rPr>
          <w:rFonts w:ascii="Calibri" w:hAnsi="Calibri" w:cstheme="minorHAnsi"/>
          <w:color w:val="231F20"/>
          <w:sz w:val="20"/>
          <w:szCs w:val="20"/>
        </w:rPr>
      </w:pPr>
      <w:r w:rsidRPr="004F07D0">
        <w:rPr>
          <w:rFonts w:ascii="Calibri" w:hAnsi="Calibri" w:cstheme="minorHAnsi"/>
          <w:color w:val="231F20"/>
          <w:sz w:val="20"/>
          <w:szCs w:val="20"/>
        </w:rPr>
        <w:t>$1.20/$30 = 4%.) The marginal tax rate is 40%.</w:t>
      </w:r>
    </w:p>
    <w:p w:rsidR="001522F6" w:rsidRDefault="001522F6" w:rsidP="001522F6">
      <w:pPr>
        <w:pStyle w:val="ListParagraph"/>
        <w:numPr>
          <w:ilvl w:val="1"/>
          <w:numId w:val="1"/>
        </w:numPr>
        <w:autoSpaceDE w:val="0"/>
        <w:autoSpaceDN w:val="0"/>
        <w:adjustRightInd w:val="0"/>
        <w:spacing w:after="120"/>
        <w:jc w:val="both"/>
        <w:rPr>
          <w:rFonts w:ascii="Calibri" w:hAnsi="Calibri" w:cstheme="minorHAnsi"/>
          <w:color w:val="231F20"/>
          <w:sz w:val="20"/>
          <w:szCs w:val="20"/>
        </w:rPr>
      </w:pPr>
      <w:r w:rsidRPr="004F07D0">
        <w:rPr>
          <w:rFonts w:ascii="Calibri" w:hAnsi="Calibri" w:cstheme="minorHAnsi"/>
          <w:color w:val="231F20"/>
          <w:sz w:val="20"/>
          <w:szCs w:val="20"/>
        </w:rPr>
        <w:t>In order to maintain the present capital structure, how much of the new investment must be financed by common equity?</w:t>
      </w:r>
    </w:p>
    <w:p w:rsidR="001522F6" w:rsidRPr="00652D4E" w:rsidRDefault="001522F6" w:rsidP="001522F6">
      <w:pPr>
        <w:pStyle w:val="ListParagraph"/>
        <w:autoSpaceDE w:val="0"/>
        <w:autoSpaceDN w:val="0"/>
        <w:adjustRightInd w:val="0"/>
        <w:spacing w:after="120"/>
        <w:ind w:left="1440"/>
        <w:jc w:val="both"/>
        <w:rPr>
          <w:rFonts w:ascii="Calibri" w:hAnsi="Calibri" w:cstheme="minorHAnsi"/>
          <w:color w:val="231F20"/>
          <w:sz w:val="6"/>
          <w:szCs w:val="20"/>
        </w:rPr>
      </w:pPr>
    </w:p>
    <w:p w:rsidR="001522F6" w:rsidRDefault="001522F6" w:rsidP="001522F6">
      <w:pPr>
        <w:pStyle w:val="ListParagraph"/>
        <w:numPr>
          <w:ilvl w:val="1"/>
          <w:numId w:val="1"/>
        </w:numPr>
        <w:autoSpaceDE w:val="0"/>
        <w:autoSpaceDN w:val="0"/>
        <w:adjustRightInd w:val="0"/>
        <w:jc w:val="both"/>
        <w:rPr>
          <w:rFonts w:ascii="Calibri" w:hAnsi="Calibri" w:cstheme="minorHAnsi"/>
          <w:color w:val="231F20"/>
          <w:sz w:val="20"/>
          <w:szCs w:val="20"/>
        </w:rPr>
      </w:pPr>
      <w:r w:rsidRPr="004F07D0">
        <w:rPr>
          <w:rFonts w:ascii="Calibri" w:hAnsi="Calibri" w:cstheme="minorHAnsi"/>
          <w:color w:val="231F20"/>
          <w:sz w:val="20"/>
          <w:szCs w:val="20"/>
        </w:rPr>
        <w:t xml:space="preserve">Assuming there is sufficient cash flow for </w:t>
      </w:r>
      <w:proofErr w:type="spellStart"/>
      <w:r w:rsidRPr="004F07D0">
        <w:rPr>
          <w:rFonts w:ascii="Calibri" w:hAnsi="Calibri" w:cstheme="minorHAnsi"/>
          <w:color w:val="231F20"/>
          <w:sz w:val="20"/>
          <w:szCs w:val="20"/>
        </w:rPr>
        <w:t>Tysseland</w:t>
      </w:r>
      <w:proofErr w:type="spellEnd"/>
      <w:r w:rsidRPr="004F07D0">
        <w:rPr>
          <w:rFonts w:ascii="Calibri" w:hAnsi="Calibri" w:cstheme="minorHAnsi"/>
          <w:color w:val="231F20"/>
          <w:sz w:val="20"/>
          <w:szCs w:val="20"/>
        </w:rPr>
        <w:t xml:space="preserve"> to maintain its target capital structure without issuing additional shares of equity, what is its WACC?</w:t>
      </w:r>
    </w:p>
    <w:p w:rsidR="001522F6" w:rsidRPr="00652D4E" w:rsidRDefault="001522F6" w:rsidP="001522F6">
      <w:pPr>
        <w:pStyle w:val="ListParagraph"/>
        <w:autoSpaceDE w:val="0"/>
        <w:autoSpaceDN w:val="0"/>
        <w:adjustRightInd w:val="0"/>
        <w:ind w:left="1440"/>
        <w:jc w:val="both"/>
        <w:rPr>
          <w:rFonts w:ascii="Calibri" w:hAnsi="Calibri" w:cstheme="minorHAnsi"/>
          <w:color w:val="231F20"/>
          <w:sz w:val="10"/>
          <w:szCs w:val="20"/>
        </w:rPr>
      </w:pPr>
    </w:p>
    <w:p w:rsidR="001522F6" w:rsidRPr="004F07D0" w:rsidRDefault="001522F6" w:rsidP="001522F6">
      <w:pPr>
        <w:pStyle w:val="ListParagraph"/>
        <w:numPr>
          <w:ilvl w:val="1"/>
          <w:numId w:val="1"/>
        </w:numPr>
        <w:autoSpaceDE w:val="0"/>
        <w:autoSpaceDN w:val="0"/>
        <w:adjustRightInd w:val="0"/>
        <w:jc w:val="both"/>
        <w:rPr>
          <w:rFonts w:ascii="Calibri" w:hAnsi="Calibri" w:cstheme="minorHAnsi"/>
          <w:sz w:val="20"/>
          <w:szCs w:val="20"/>
        </w:rPr>
      </w:pPr>
      <w:r w:rsidRPr="004F07D0">
        <w:rPr>
          <w:rFonts w:ascii="Calibri" w:hAnsi="Calibri" w:cstheme="minorHAnsi"/>
          <w:color w:val="231F20"/>
          <w:sz w:val="20"/>
          <w:szCs w:val="20"/>
        </w:rPr>
        <w:t>Suppose now that there is not enough internal cash flow and the firm must issue new shares of stock. Qualitatively speaking, what will happen to the WACC? No numbers are required to answer this question.</w:t>
      </w:r>
    </w:p>
    <w:p w:rsidR="00E26447" w:rsidRDefault="00E26447">
      <w:bookmarkStart w:id="0" w:name="_GoBack"/>
      <w:bookmarkEnd w:id="0"/>
    </w:p>
    <w:sectPr w:rsidR="00E26447" w:rsidSect="001522F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C682A"/>
    <w:multiLevelType w:val="hybridMultilevel"/>
    <w:tmpl w:val="E124E188"/>
    <w:lvl w:ilvl="0" w:tplc="4009000F">
      <w:start w:val="1"/>
      <w:numFmt w:val="decimal"/>
      <w:lvlText w:val="%1."/>
      <w:lvlJc w:val="left"/>
      <w:pPr>
        <w:ind w:left="720" w:hanging="360"/>
      </w:pPr>
    </w:lvl>
    <w:lvl w:ilvl="1" w:tplc="D5E44690">
      <w:start w:val="1"/>
      <w:numFmt w:val="lowerLetter"/>
      <w:lvlText w:val="%2."/>
      <w:lvlJc w:val="left"/>
      <w:pPr>
        <w:ind w:left="1440" w:hanging="360"/>
      </w:pPr>
      <w:rPr>
        <w:rFonts w:hint="default"/>
      </w:r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2F6"/>
    <w:rsid w:val="001522F6"/>
    <w:rsid w:val="00DF69EF"/>
    <w:rsid w:val="00E264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5A50C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2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22F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2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22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548</Words>
  <Characters>3126</Characters>
  <Application>Microsoft Macintosh Word</Application>
  <DocSecurity>0</DocSecurity>
  <Lines>26</Lines>
  <Paragraphs>7</Paragraphs>
  <ScaleCrop>false</ScaleCrop>
  <Company/>
  <LinksUpToDate>false</LinksUpToDate>
  <CharactersWithSpaces>3667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SAM</cp:lastModifiedBy>
  <cp:revision>1</cp:revision>
  <dcterms:created xsi:type="dcterms:W3CDTF">2020-07-04T05:40:00Z</dcterms:created>
  <dcterms:modified xsi:type="dcterms:W3CDTF">2020-07-04T05:41:00Z</dcterms:modified>
</cp:coreProperties>
</file>