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5BC1DD" w14:textId="76F19034" w:rsidR="00393283" w:rsidRDefault="00393283">
      <w:pPr>
        <w:pStyle w:val="BodyText"/>
        <w:ind w:left="125"/>
        <w:rPr>
          <w:rFonts w:ascii="Times New Roman"/>
          <w:sz w:val="20"/>
        </w:rPr>
      </w:pPr>
    </w:p>
    <w:p w14:paraId="51293977" w14:textId="131CE447" w:rsidR="00393283" w:rsidRDefault="00000000" w:rsidP="00B764E4">
      <w:pPr>
        <w:spacing w:before="246" w:line="244" w:lineRule="auto"/>
        <w:ind w:left="1440" w:right="284"/>
        <w:rPr>
          <w:b/>
          <w:sz w:val="36"/>
        </w:rPr>
      </w:pPr>
      <w:bookmarkStart w:id="0" w:name="Governance_at_ICICI_Bank_Chairman’s_Dile"/>
      <w:bookmarkEnd w:id="0"/>
      <w:r>
        <w:rPr>
          <w:b/>
          <w:sz w:val="36"/>
        </w:rPr>
        <w:t>Governance</w:t>
      </w:r>
      <w:r>
        <w:rPr>
          <w:b/>
          <w:spacing w:val="-12"/>
          <w:sz w:val="36"/>
        </w:rPr>
        <w:t xml:space="preserve"> </w:t>
      </w:r>
      <w:r w:rsidR="00B764E4">
        <w:rPr>
          <w:b/>
          <w:spacing w:val="-12"/>
          <w:sz w:val="36"/>
        </w:rPr>
        <w:t xml:space="preserve">and Ethics </w:t>
      </w:r>
      <w:r>
        <w:rPr>
          <w:b/>
          <w:sz w:val="36"/>
        </w:rPr>
        <w:t>at</w:t>
      </w:r>
      <w:r>
        <w:rPr>
          <w:b/>
          <w:spacing w:val="-13"/>
          <w:sz w:val="36"/>
        </w:rPr>
        <w:t xml:space="preserve"> </w:t>
      </w:r>
      <w:r>
        <w:rPr>
          <w:b/>
          <w:sz w:val="36"/>
        </w:rPr>
        <w:t>ICICI</w:t>
      </w:r>
      <w:r>
        <w:rPr>
          <w:b/>
          <w:spacing w:val="-13"/>
          <w:sz w:val="36"/>
        </w:rPr>
        <w:t xml:space="preserve"> </w:t>
      </w:r>
      <w:r>
        <w:rPr>
          <w:b/>
          <w:sz w:val="36"/>
        </w:rPr>
        <w:t xml:space="preserve">Bank </w:t>
      </w:r>
    </w:p>
    <w:p w14:paraId="358E5F93" w14:textId="1AD644AB" w:rsidR="00393283" w:rsidRDefault="00000000">
      <w:pPr>
        <w:pStyle w:val="BodyText"/>
        <w:spacing w:before="274" w:line="249" w:lineRule="auto"/>
        <w:ind w:left="139" w:right="135"/>
        <w:jc w:val="both"/>
      </w:pPr>
      <w:r>
        <w:t>The Board of Directors of ICICI Bank (henceforth also referred to as the Bank) met on January 30, 2019, to consider the adverse findings by Justice Srikrishna, a former Supreme Court judge, against Ms. Chanda Kochhar, the former Managing Director (MD) and Chief Executive Officer (CEO) of the Bank. Kochhar had failed to disclose the financial and business ties between the Videocon group and firms owned and controlled by her husband, Deepak Kochhar, while she participated as a member of the Credit Committee</w:t>
      </w:r>
      <w:hyperlink w:anchor="_bookmark21" w:history="1">
        <w:r>
          <w:rPr>
            <w:position w:val="5"/>
            <w:sz w:val="14"/>
          </w:rPr>
          <w:t>1</w:t>
        </w:r>
      </w:hyperlink>
      <w:r>
        <w:rPr>
          <w:spacing w:val="38"/>
          <w:position w:val="5"/>
          <w:sz w:val="14"/>
        </w:rPr>
        <w:t xml:space="preserve"> </w:t>
      </w:r>
      <w:r>
        <w:t>that granted loans to the Videocon group, which subsequently defaulted on the loans. She had thereby violated the Bank’s Code of Conduct (Exhibit 1) and rendered the Bank’s internal control processes ineffective. As Chairman</w:t>
      </w:r>
      <w:r>
        <w:rPr>
          <w:spacing w:val="30"/>
          <w:position w:val="5"/>
          <w:sz w:val="14"/>
        </w:rPr>
        <w:t xml:space="preserve"> </w:t>
      </w:r>
      <w:r>
        <w:t>of the Board, Chaturvedi had to decide whether to recommend continuing with the status quo or reversing the Board’s earlier decision at the time of Kochhar’s resignation. A reversal would require her separation from the bank to be reclassified as ‘termination for cause’ (by contrast, acceptance of resignation is regarded as termination simpliciter). In the latter instance, Chaturvedi must decide whether to recommend the imposition of a penalty on Kochhar prospectively or retrospectively.</w:t>
      </w:r>
    </w:p>
    <w:p w14:paraId="31F55FF9" w14:textId="77777777" w:rsidR="00393283" w:rsidRDefault="00000000">
      <w:pPr>
        <w:pStyle w:val="Heading1"/>
        <w:spacing w:before="145"/>
      </w:pPr>
      <w:bookmarkStart w:id="1" w:name="Brief_History_of_the_Bank_"/>
      <w:bookmarkEnd w:id="1"/>
      <w:r>
        <w:t>Brief</w:t>
      </w:r>
      <w:r>
        <w:rPr>
          <w:spacing w:val="-7"/>
        </w:rPr>
        <w:t xml:space="preserve"> </w:t>
      </w:r>
      <w:r>
        <w:t>History</w:t>
      </w:r>
      <w:r>
        <w:rPr>
          <w:spacing w:val="-5"/>
        </w:rPr>
        <w:t xml:space="preserve"> </w:t>
      </w:r>
      <w:r>
        <w:t>of</w:t>
      </w:r>
      <w:r>
        <w:rPr>
          <w:spacing w:val="-7"/>
        </w:rPr>
        <w:t xml:space="preserve"> </w:t>
      </w:r>
      <w:r>
        <w:t>the</w:t>
      </w:r>
      <w:r>
        <w:rPr>
          <w:spacing w:val="-5"/>
        </w:rPr>
        <w:t xml:space="preserve"> </w:t>
      </w:r>
      <w:r>
        <w:rPr>
          <w:spacing w:val="-4"/>
        </w:rPr>
        <w:t>Bank</w:t>
      </w:r>
    </w:p>
    <w:p w14:paraId="2D6F9791" w14:textId="291516F5" w:rsidR="00393283" w:rsidRDefault="00000000">
      <w:pPr>
        <w:pStyle w:val="BodyText"/>
        <w:spacing w:before="169" w:line="249" w:lineRule="auto"/>
        <w:ind w:left="139" w:right="137"/>
        <w:jc w:val="both"/>
      </w:pPr>
      <w:r>
        <w:t>ICICI (Industrial Credit and Investment Corporation of India) was set up as a Development Financial Institution in 1955 at the initiative of the World Bank, the Government of India, and representatives of the Indian industry. ICICI promoted ICICI Bank in 1994 as its wholly owned subsidiary. In 2002, ICICI merged into ICICI Bank and financing and banking operations, both wholesale and retail, were integrated into a single amalgamated entity.</w:t>
      </w:r>
      <w:r>
        <w:rPr>
          <w:spacing w:val="30"/>
          <w:position w:val="5"/>
          <w:sz w:val="14"/>
        </w:rPr>
        <w:t xml:space="preserve"> </w:t>
      </w:r>
      <w:r>
        <w:t>By 2019, with a highly diversified base of shareholders consisting of Indian mutual funds (21%), Indian insurance companies</w:t>
      </w:r>
      <w:r>
        <w:rPr>
          <w:spacing w:val="26"/>
        </w:rPr>
        <w:t xml:space="preserve"> </w:t>
      </w:r>
      <w:r>
        <w:t>(12%),</w:t>
      </w:r>
      <w:r>
        <w:rPr>
          <w:spacing w:val="26"/>
        </w:rPr>
        <w:t xml:space="preserve"> </w:t>
      </w:r>
      <w:r>
        <w:t>foreign</w:t>
      </w:r>
      <w:r>
        <w:rPr>
          <w:spacing w:val="27"/>
        </w:rPr>
        <w:t xml:space="preserve"> </w:t>
      </w:r>
      <w:r>
        <w:t>portfolio</w:t>
      </w:r>
      <w:r>
        <w:rPr>
          <w:spacing w:val="25"/>
        </w:rPr>
        <w:t xml:space="preserve"> </w:t>
      </w:r>
      <w:r>
        <w:t>investors</w:t>
      </w:r>
      <w:r>
        <w:rPr>
          <w:spacing w:val="27"/>
        </w:rPr>
        <w:t xml:space="preserve"> </w:t>
      </w:r>
      <w:r>
        <w:t>(33%),</w:t>
      </w:r>
      <w:r>
        <w:rPr>
          <w:spacing w:val="26"/>
        </w:rPr>
        <w:t xml:space="preserve"> </w:t>
      </w:r>
      <w:r>
        <w:t>US</w:t>
      </w:r>
      <w:r>
        <w:rPr>
          <w:spacing w:val="26"/>
        </w:rPr>
        <w:t xml:space="preserve"> </w:t>
      </w:r>
      <w:r>
        <w:t>American</w:t>
      </w:r>
      <w:r>
        <w:rPr>
          <w:spacing w:val="26"/>
        </w:rPr>
        <w:t xml:space="preserve"> </w:t>
      </w:r>
      <w:r>
        <w:t>Depository</w:t>
      </w:r>
      <w:r>
        <w:rPr>
          <w:spacing w:val="26"/>
        </w:rPr>
        <w:t xml:space="preserve"> </w:t>
      </w:r>
      <w:r>
        <w:t>Receipts</w:t>
      </w:r>
      <w:r>
        <w:rPr>
          <w:spacing w:val="26"/>
        </w:rPr>
        <w:t xml:space="preserve"> </w:t>
      </w:r>
      <w:r>
        <w:rPr>
          <w:spacing w:val="-2"/>
        </w:rPr>
        <w:t>(24%),</w:t>
      </w:r>
    </w:p>
    <w:p w14:paraId="2D1673CA" w14:textId="77777777" w:rsidR="00393283" w:rsidRDefault="00393283">
      <w:pPr>
        <w:pStyle w:val="BodyText"/>
        <w:rPr>
          <w:sz w:val="20"/>
        </w:rPr>
      </w:pPr>
    </w:p>
    <w:p w14:paraId="5164C541" w14:textId="77777777" w:rsidR="00393283" w:rsidRDefault="00393283">
      <w:pPr>
        <w:pStyle w:val="BodyText"/>
        <w:rPr>
          <w:sz w:val="20"/>
        </w:rPr>
      </w:pPr>
    </w:p>
    <w:p w14:paraId="6E4061D7" w14:textId="291E8FBE" w:rsidR="00393283" w:rsidRDefault="00000000" w:rsidP="00B764E4">
      <w:pPr>
        <w:pStyle w:val="BodyText"/>
        <w:spacing w:before="86"/>
        <w:rPr>
          <w:sz w:val="20"/>
        </w:rPr>
      </w:pPr>
      <w:r>
        <w:rPr>
          <w:spacing w:val="13"/>
          <w:position w:val="4"/>
          <w:sz w:val="12"/>
        </w:rPr>
        <w:t xml:space="preserve"> </w:t>
      </w:r>
    </w:p>
    <w:p w14:paraId="36F665CD" w14:textId="77777777" w:rsidR="00393283" w:rsidRDefault="00393283">
      <w:pPr>
        <w:jc w:val="both"/>
        <w:rPr>
          <w:sz w:val="20"/>
        </w:rPr>
        <w:sectPr w:rsidR="00393283">
          <w:footerReference w:type="default" r:id="rId7"/>
          <w:type w:val="continuous"/>
          <w:pgSz w:w="12240" w:h="15840"/>
          <w:pgMar w:top="900" w:right="1300" w:bottom="600" w:left="1300" w:header="0" w:footer="400" w:gutter="0"/>
          <w:pgNumType w:start="1"/>
          <w:cols w:space="720"/>
        </w:sectPr>
      </w:pPr>
    </w:p>
    <w:p w14:paraId="25AC3B39" w14:textId="4CCF66B9" w:rsidR="00393283" w:rsidRDefault="00000000">
      <w:pPr>
        <w:pStyle w:val="BodyText"/>
        <w:spacing w:before="201" w:line="249" w:lineRule="auto"/>
        <w:ind w:left="140" w:right="137"/>
        <w:jc w:val="both"/>
        <w:rPr>
          <w:sz w:val="14"/>
        </w:rPr>
      </w:pPr>
      <w:r>
        <w:lastRenderedPageBreak/>
        <w:t>and other institutional and non-institutional investors (9%), ICICI Bank was a professionally managed organization, with no promoter shareholders.</w:t>
      </w:r>
      <w:hyperlink w:anchor="_bookmark3" w:history="1">
        <w:r>
          <w:rPr>
            <w:position w:val="5"/>
            <w:sz w:val="14"/>
          </w:rPr>
          <w:t>5</w:t>
        </w:r>
      </w:hyperlink>
    </w:p>
    <w:p w14:paraId="5B68B3B3" w14:textId="77777777" w:rsidR="00393283" w:rsidRDefault="00000000">
      <w:pPr>
        <w:pStyle w:val="Heading1"/>
        <w:spacing w:before="153"/>
        <w:ind w:left="139"/>
        <w:jc w:val="left"/>
      </w:pPr>
      <w:bookmarkStart w:id="2" w:name="Background_of_Kochhar_"/>
      <w:bookmarkEnd w:id="2"/>
      <w:r>
        <w:t>Background</w:t>
      </w:r>
      <w:r>
        <w:rPr>
          <w:spacing w:val="-9"/>
        </w:rPr>
        <w:t xml:space="preserve"> </w:t>
      </w:r>
      <w:r>
        <w:t>of</w:t>
      </w:r>
      <w:r>
        <w:rPr>
          <w:spacing w:val="-10"/>
        </w:rPr>
        <w:t xml:space="preserve"> </w:t>
      </w:r>
      <w:r>
        <w:rPr>
          <w:spacing w:val="-2"/>
        </w:rPr>
        <w:t>Kochhar</w:t>
      </w:r>
    </w:p>
    <w:p w14:paraId="5AC2CA7E" w14:textId="77777777" w:rsidR="00393283" w:rsidRDefault="00000000">
      <w:pPr>
        <w:pStyle w:val="BodyText"/>
        <w:spacing w:before="170" w:line="249" w:lineRule="auto"/>
        <w:ind w:left="139" w:right="136"/>
        <w:jc w:val="both"/>
      </w:pPr>
      <w:r>
        <w:t>Beginning her career in 1984 with ICICI in its project finance department, Kochhar had worked in the</w:t>
      </w:r>
      <w:r>
        <w:rPr>
          <w:spacing w:val="-2"/>
        </w:rPr>
        <w:t xml:space="preserve"> </w:t>
      </w:r>
      <w:r>
        <w:t>areas</w:t>
      </w:r>
      <w:r>
        <w:rPr>
          <w:spacing w:val="-2"/>
        </w:rPr>
        <w:t xml:space="preserve"> </w:t>
      </w:r>
      <w:r>
        <w:t>of</w:t>
      </w:r>
      <w:r>
        <w:rPr>
          <w:spacing w:val="-1"/>
        </w:rPr>
        <w:t xml:space="preserve"> </w:t>
      </w:r>
      <w:r>
        <w:t>corporate banking,</w:t>
      </w:r>
      <w:r>
        <w:rPr>
          <w:spacing w:val="-1"/>
        </w:rPr>
        <w:t xml:space="preserve"> </w:t>
      </w:r>
      <w:r>
        <w:t>infrastructure financing,</w:t>
      </w:r>
      <w:r>
        <w:rPr>
          <w:spacing w:val="-1"/>
        </w:rPr>
        <w:t xml:space="preserve"> </w:t>
      </w:r>
      <w:r>
        <w:t>e-commerce,</w:t>
      </w:r>
      <w:r>
        <w:rPr>
          <w:spacing w:val="-1"/>
        </w:rPr>
        <w:t xml:space="preserve"> </w:t>
      </w:r>
      <w:r>
        <w:t>strategy,</w:t>
      </w:r>
      <w:r>
        <w:rPr>
          <w:spacing w:val="-1"/>
        </w:rPr>
        <w:t xml:space="preserve"> </w:t>
      </w:r>
      <w:r>
        <w:t>retail</w:t>
      </w:r>
      <w:r>
        <w:rPr>
          <w:spacing w:val="-1"/>
        </w:rPr>
        <w:t xml:space="preserve"> </w:t>
      </w:r>
      <w:r>
        <w:t>banking, international banking, and finance. She became an Executive Director in 2001, Deputy</w:t>
      </w:r>
      <w:r>
        <w:rPr>
          <w:spacing w:val="40"/>
        </w:rPr>
        <w:t xml:space="preserve"> </w:t>
      </w:r>
      <w:r>
        <w:t xml:space="preserve">Managing Director in 2006, Joint Managing Director and Chief Financial Officer in 2007 and finally CEO and Managing Director in 2009 — the first woman to lead a bank in India. Kochhar was awarded the Padma Bhushan, a prestigious </w:t>
      </w:r>
      <w:proofErr w:type="spellStart"/>
      <w:r>
        <w:t>honour</w:t>
      </w:r>
      <w:proofErr w:type="spellEnd"/>
      <w:r>
        <w:t xml:space="preserve"> conferred on civilians by the Government of India. She also received the Woodrow Wilson Award for Global Corporate Citizenship (the first woman and the third Indian to be thus </w:t>
      </w:r>
      <w:proofErr w:type="spellStart"/>
      <w:r>
        <w:t>honoured</w:t>
      </w:r>
      <w:proofErr w:type="spellEnd"/>
      <w:r>
        <w:t>).</w:t>
      </w:r>
    </w:p>
    <w:p w14:paraId="7DDF3643" w14:textId="77777777" w:rsidR="00393283" w:rsidRDefault="00000000">
      <w:pPr>
        <w:pStyle w:val="Heading1"/>
        <w:spacing w:before="149"/>
        <w:ind w:left="139"/>
        <w:jc w:val="left"/>
      </w:pPr>
      <w:bookmarkStart w:id="3" w:name="Background_of_the_Non-Executive_Chair_"/>
      <w:bookmarkEnd w:id="3"/>
      <w:r>
        <w:t>Background</w:t>
      </w:r>
      <w:r>
        <w:rPr>
          <w:spacing w:val="-10"/>
        </w:rPr>
        <w:t xml:space="preserve"> </w:t>
      </w:r>
      <w:r>
        <w:t>of</w:t>
      </w:r>
      <w:r>
        <w:rPr>
          <w:spacing w:val="-10"/>
        </w:rPr>
        <w:t xml:space="preserve"> </w:t>
      </w:r>
      <w:r>
        <w:t>the</w:t>
      </w:r>
      <w:r>
        <w:rPr>
          <w:spacing w:val="-9"/>
        </w:rPr>
        <w:t xml:space="preserve"> </w:t>
      </w:r>
      <w:r>
        <w:t>Non-Executive</w:t>
      </w:r>
      <w:r>
        <w:rPr>
          <w:spacing w:val="-10"/>
        </w:rPr>
        <w:t xml:space="preserve"> </w:t>
      </w:r>
      <w:r>
        <w:rPr>
          <w:spacing w:val="-2"/>
        </w:rPr>
        <w:t>Chair</w:t>
      </w:r>
    </w:p>
    <w:p w14:paraId="77319728" w14:textId="77777777" w:rsidR="00393283" w:rsidRDefault="00000000">
      <w:pPr>
        <w:pStyle w:val="BodyText"/>
        <w:spacing w:before="169" w:line="249" w:lineRule="auto"/>
        <w:ind w:left="139" w:right="136"/>
        <w:jc w:val="both"/>
      </w:pPr>
      <w:r>
        <w:t>Girish Chandra Chaturvedi joined the Board as its non-executive Chairman in July 2018. The non-executive Chairman provided leadership to the Board but was not involved in the day to day running of the Bank, which was the responsibility of the CEO. He now had to navigate the Board through the difficult meeting on January 30, 2019. The press had high expectations from Chaturvedi: “Soft-spoken and cordial, ICICI Bank’s new Non-Executive Chairman Girish Chandra Chaturvedi is an efficient and able administrator who keeps a cool head.</w:t>
      </w:r>
      <w:hyperlink w:anchor="_bookmark4" w:history="1">
        <w:r>
          <w:rPr>
            <w:position w:val="5"/>
            <w:sz w:val="14"/>
          </w:rPr>
          <w:t>6</w:t>
        </w:r>
      </w:hyperlink>
      <w:r>
        <w:t>” wrote one newspaper at the time of his appointment, while another quoted his former colleagues in the bureaucracy as saying: “Girish Chandra Chaturvedi's unassuming ways … endeared him to everybody around him.</w:t>
      </w:r>
      <w:hyperlink w:anchor="_bookmark5" w:history="1">
        <w:r>
          <w:rPr>
            <w:position w:val="5"/>
            <w:sz w:val="14"/>
          </w:rPr>
          <w:t>7</w:t>
        </w:r>
      </w:hyperlink>
      <w:r>
        <w:t>” Chaturvedi had completed M.Sc. (Social Policy) from London School of</w:t>
      </w:r>
      <w:r>
        <w:rPr>
          <w:spacing w:val="-1"/>
        </w:rPr>
        <w:t xml:space="preserve"> </w:t>
      </w:r>
      <w:r>
        <w:t>Economics</w:t>
      </w:r>
      <w:r>
        <w:rPr>
          <w:spacing w:val="-1"/>
        </w:rPr>
        <w:t xml:space="preserve"> </w:t>
      </w:r>
      <w:r>
        <w:t>and</w:t>
      </w:r>
      <w:r>
        <w:rPr>
          <w:spacing w:val="-1"/>
        </w:rPr>
        <w:t xml:space="preserve"> </w:t>
      </w:r>
      <w:r>
        <w:t>M.Sc.</w:t>
      </w:r>
      <w:r>
        <w:rPr>
          <w:spacing w:val="-2"/>
        </w:rPr>
        <w:t xml:space="preserve"> </w:t>
      </w:r>
      <w:r>
        <w:t>(Physics)</w:t>
      </w:r>
      <w:r>
        <w:rPr>
          <w:spacing w:val="-1"/>
        </w:rPr>
        <w:t xml:space="preserve"> </w:t>
      </w:r>
      <w:r>
        <w:t>from</w:t>
      </w:r>
      <w:r>
        <w:rPr>
          <w:spacing w:val="-1"/>
        </w:rPr>
        <w:t xml:space="preserve"> </w:t>
      </w:r>
      <w:r>
        <w:t>University</w:t>
      </w:r>
      <w:r>
        <w:rPr>
          <w:spacing w:val="-1"/>
        </w:rPr>
        <w:t xml:space="preserve"> </w:t>
      </w:r>
      <w:r>
        <w:t>of</w:t>
      </w:r>
      <w:r>
        <w:rPr>
          <w:spacing w:val="-1"/>
        </w:rPr>
        <w:t xml:space="preserve"> </w:t>
      </w:r>
      <w:r>
        <w:t>Allahabad.</w:t>
      </w:r>
      <w:r>
        <w:rPr>
          <w:spacing w:val="-1"/>
        </w:rPr>
        <w:t xml:space="preserve"> </w:t>
      </w:r>
      <w:r>
        <w:t>After</w:t>
      </w:r>
      <w:r>
        <w:rPr>
          <w:spacing w:val="-2"/>
        </w:rPr>
        <w:t xml:space="preserve"> </w:t>
      </w:r>
      <w:r>
        <w:t>a</w:t>
      </w:r>
      <w:r>
        <w:rPr>
          <w:spacing w:val="-2"/>
        </w:rPr>
        <w:t xml:space="preserve"> </w:t>
      </w:r>
      <w:r>
        <w:t>distinguished</w:t>
      </w:r>
      <w:r>
        <w:rPr>
          <w:spacing w:val="-1"/>
        </w:rPr>
        <w:t xml:space="preserve"> </w:t>
      </w:r>
      <w:r>
        <w:t>career</w:t>
      </w:r>
      <w:hyperlink w:anchor="_bookmark6" w:history="1">
        <w:r>
          <w:rPr>
            <w:position w:val="5"/>
            <w:sz w:val="14"/>
          </w:rPr>
          <w:t>8</w:t>
        </w:r>
      </w:hyperlink>
      <w:r>
        <w:rPr>
          <w:spacing w:val="19"/>
          <w:position w:val="5"/>
          <w:sz w:val="14"/>
        </w:rPr>
        <w:t xml:space="preserve"> </w:t>
      </w:r>
      <w:r>
        <w:t>as a civil servant, he retired in 2013 as Secretary, Ministry of Petroleum and Natural Gas. He had served as the Chairman of NSE, India’s premier stock exchange; Warehousing Development</w:t>
      </w:r>
      <w:r>
        <w:rPr>
          <w:spacing w:val="40"/>
        </w:rPr>
        <w:t xml:space="preserve"> </w:t>
      </w:r>
      <w:r>
        <w:t>and Regulatory Authority of India; Pension Fund Regulatory &amp; Development Authority; Petronet LNG Ltd; Indian Strategic Petroleum Reserves Ltd and Oil Industries Development Board. He had also served as Director on the Boards of several of India’s largest banks and insurance companies. He would have to draw on his vast experience to guide the Board to frame an appropriate response to put a closure to the much-publicized episode.</w:t>
      </w:r>
    </w:p>
    <w:p w14:paraId="4480CC3F" w14:textId="77777777" w:rsidR="00393283" w:rsidRDefault="00000000">
      <w:pPr>
        <w:pStyle w:val="Heading1"/>
        <w:jc w:val="left"/>
      </w:pPr>
      <w:bookmarkStart w:id="4" w:name="The_Board's_Choices_for_the_January_2019"/>
      <w:bookmarkEnd w:id="4"/>
      <w:r>
        <w:t>The</w:t>
      </w:r>
      <w:r>
        <w:rPr>
          <w:spacing w:val="-7"/>
        </w:rPr>
        <w:t xml:space="preserve"> </w:t>
      </w:r>
      <w:r>
        <w:t>Board's</w:t>
      </w:r>
      <w:r>
        <w:rPr>
          <w:spacing w:val="-8"/>
        </w:rPr>
        <w:t xml:space="preserve"> </w:t>
      </w:r>
      <w:r>
        <w:t>Choices</w:t>
      </w:r>
      <w:r>
        <w:rPr>
          <w:spacing w:val="-7"/>
        </w:rPr>
        <w:t xml:space="preserve"> </w:t>
      </w:r>
      <w:r>
        <w:t>for</w:t>
      </w:r>
      <w:r>
        <w:rPr>
          <w:spacing w:val="-7"/>
        </w:rPr>
        <w:t xml:space="preserve"> </w:t>
      </w:r>
      <w:r>
        <w:t>the</w:t>
      </w:r>
      <w:r>
        <w:rPr>
          <w:spacing w:val="-6"/>
        </w:rPr>
        <w:t xml:space="preserve"> </w:t>
      </w:r>
      <w:r>
        <w:t>January</w:t>
      </w:r>
      <w:r>
        <w:rPr>
          <w:spacing w:val="-9"/>
        </w:rPr>
        <w:t xml:space="preserve"> </w:t>
      </w:r>
      <w:r>
        <w:t>2019</w:t>
      </w:r>
      <w:r>
        <w:rPr>
          <w:spacing w:val="-6"/>
        </w:rPr>
        <w:t xml:space="preserve"> </w:t>
      </w:r>
      <w:r>
        <w:rPr>
          <w:spacing w:val="-2"/>
        </w:rPr>
        <w:t>Meeting</w:t>
      </w:r>
    </w:p>
    <w:p w14:paraId="1C286A53" w14:textId="77777777" w:rsidR="00393283" w:rsidRDefault="00000000">
      <w:pPr>
        <w:pStyle w:val="BodyText"/>
        <w:spacing w:before="169" w:line="249" w:lineRule="auto"/>
        <w:ind w:left="140" w:right="136"/>
        <w:jc w:val="both"/>
      </w:pPr>
      <w:r>
        <w:t>It was possible to visualize three courses of action open to the Board in January 2019, but each</w:t>
      </w:r>
      <w:r>
        <w:rPr>
          <w:spacing w:val="40"/>
        </w:rPr>
        <w:t xml:space="preserve"> </w:t>
      </w:r>
      <w:r>
        <w:t>of them presented difficult challenges:</w:t>
      </w:r>
    </w:p>
    <w:p w14:paraId="5583B909" w14:textId="77777777" w:rsidR="00393283" w:rsidRDefault="00393283">
      <w:pPr>
        <w:pStyle w:val="BodyText"/>
        <w:rPr>
          <w:sz w:val="20"/>
        </w:rPr>
      </w:pPr>
    </w:p>
    <w:p w14:paraId="395E61AA" w14:textId="77777777" w:rsidR="00393283" w:rsidRDefault="00000000">
      <w:pPr>
        <w:pStyle w:val="BodyText"/>
        <w:spacing w:before="173"/>
        <w:rPr>
          <w:sz w:val="20"/>
        </w:rPr>
      </w:pPr>
      <w:r>
        <w:rPr>
          <w:noProof/>
        </w:rPr>
        <mc:AlternateContent>
          <mc:Choice Requires="wps">
            <w:drawing>
              <wp:anchor distT="0" distB="0" distL="0" distR="0" simplePos="0" relativeHeight="487589888" behindDoc="1" locked="0" layoutInCell="1" allowOverlap="1" wp14:anchorId="75205D18" wp14:editId="75A05EEC">
                <wp:simplePos x="0" y="0"/>
                <wp:positionH relativeFrom="page">
                  <wp:posOffset>914400</wp:posOffset>
                </wp:positionH>
                <wp:positionV relativeFrom="paragraph">
                  <wp:posOffset>277742</wp:posOffset>
                </wp:positionV>
                <wp:extent cx="1828800" cy="762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7620"/>
                        </a:xfrm>
                        <a:custGeom>
                          <a:avLst/>
                          <a:gdLst/>
                          <a:ahLst/>
                          <a:cxnLst/>
                          <a:rect l="l" t="t" r="r" b="b"/>
                          <a:pathLst>
                            <a:path w="1828800" h="7620">
                              <a:moveTo>
                                <a:pt x="1828800" y="0"/>
                              </a:moveTo>
                              <a:lnTo>
                                <a:pt x="0" y="0"/>
                              </a:lnTo>
                              <a:lnTo>
                                <a:pt x="0" y="7620"/>
                              </a:lnTo>
                              <a:lnTo>
                                <a:pt x="1828800" y="7620"/>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4536F39" id="Graphic 14" o:spid="_x0000_s1026" style="position:absolute;margin-left:1in;margin-top:21.85pt;width:2in;height:.6pt;z-index:-15726592;visibility:visible;mso-wrap-style:square;mso-wrap-distance-left:0;mso-wrap-distance-top:0;mso-wrap-distance-right:0;mso-wrap-distance-bottom:0;mso-position-horizontal:absolute;mso-position-horizontal-relative:page;mso-position-vertical:absolute;mso-position-vertical-relative:text;v-text-anchor:top" coordsize="182880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" path="m1828800,l,,,7620r1828800,l1828800,xe" fillcolor="black" stroked="f">
                <v:path arrowok="t"/>
                <w10:wrap type="topAndBottom" anchorx="page"/>
              </v:shape>
            </w:pict>
          </mc:Fallback>
        </mc:AlternateContent>
      </w:r>
    </w:p>
    <w:p w14:paraId="492AD6DD" w14:textId="094B7735" w:rsidR="00393283" w:rsidRDefault="00393283" w:rsidP="00B764E4">
      <w:pPr>
        <w:spacing w:before="125" w:line="249" w:lineRule="auto"/>
        <w:ind w:left="139" w:right="2483"/>
        <w:rPr>
          <w:sz w:val="18"/>
        </w:rPr>
      </w:pPr>
      <w:bookmarkStart w:id="5" w:name="_bookmark3"/>
      <w:bookmarkEnd w:id="5"/>
    </w:p>
    <w:p w14:paraId="0B81B5E7" w14:textId="77777777" w:rsidR="00393283" w:rsidRDefault="00393283">
      <w:pPr>
        <w:rPr>
          <w:sz w:val="18"/>
        </w:rPr>
        <w:sectPr w:rsidR="00393283">
          <w:headerReference w:type="default" r:id="rId8"/>
          <w:footerReference w:type="default" r:id="rId9"/>
          <w:pgSz w:w="12240" w:h="15840"/>
          <w:pgMar w:top="1240" w:right="1300" w:bottom="700" w:left="1300" w:header="916" w:footer="501" w:gutter="0"/>
          <w:pgNumType w:start="2"/>
          <w:cols w:space="720"/>
        </w:sectPr>
      </w:pPr>
    </w:p>
    <w:p w14:paraId="0A2C1BB0" w14:textId="5143DCCA" w:rsidR="00393283" w:rsidRDefault="00000000">
      <w:pPr>
        <w:pStyle w:val="ListParagraph"/>
        <w:numPr>
          <w:ilvl w:val="0"/>
          <w:numId w:val="1"/>
        </w:numPr>
        <w:tabs>
          <w:tab w:val="left" w:pos="857"/>
          <w:tab w:val="left" w:pos="859"/>
        </w:tabs>
        <w:spacing w:before="201" w:line="249" w:lineRule="auto"/>
        <w:jc w:val="both"/>
      </w:pPr>
      <w:r>
        <w:rPr>
          <w:i/>
        </w:rPr>
        <w:lastRenderedPageBreak/>
        <w:t xml:space="preserve">Maintain Status Quo: </w:t>
      </w:r>
      <w:r>
        <w:t>As Kochhar had already resigned, and her resignation had been accepted as termination simpliciter, no further action would be taken against her. This would imply disregarding the findings of Justice Shrikrishna and letting Kochhar keep the generous discretionary compensation that the Bank</w:t>
      </w:r>
      <w:r>
        <w:rPr>
          <w:spacing w:val="-1"/>
        </w:rPr>
        <w:t xml:space="preserve"> </w:t>
      </w:r>
      <w:r>
        <w:t>had</w:t>
      </w:r>
      <w:r>
        <w:rPr>
          <w:spacing w:val="-1"/>
        </w:rPr>
        <w:t xml:space="preserve"> </w:t>
      </w:r>
      <w:r>
        <w:t>provided her</w:t>
      </w:r>
      <w:r>
        <w:rPr>
          <w:spacing w:val="-1"/>
        </w:rPr>
        <w:t xml:space="preserve"> </w:t>
      </w:r>
      <w:r>
        <w:t>over</w:t>
      </w:r>
      <w:r>
        <w:rPr>
          <w:spacing w:val="-1"/>
        </w:rPr>
        <w:t xml:space="preserve"> </w:t>
      </w:r>
      <w:r>
        <w:t>the years.</w:t>
      </w:r>
    </w:p>
    <w:p w14:paraId="592EEE53" w14:textId="77777777" w:rsidR="00393283" w:rsidRDefault="00000000">
      <w:pPr>
        <w:pStyle w:val="ListParagraph"/>
        <w:numPr>
          <w:ilvl w:val="0"/>
          <w:numId w:val="1"/>
        </w:numPr>
        <w:tabs>
          <w:tab w:val="left" w:pos="857"/>
          <w:tab w:val="left" w:pos="859"/>
        </w:tabs>
        <w:spacing w:line="249" w:lineRule="auto"/>
        <w:jc w:val="both"/>
      </w:pPr>
      <w:r>
        <w:rPr>
          <w:i/>
        </w:rPr>
        <w:t xml:space="preserve">Cancel Unexercised Options: </w:t>
      </w:r>
      <w:r>
        <w:t>Kochhar held unexercised options on 5.7 million shares</w:t>
      </w:r>
      <w:r>
        <w:rPr>
          <w:spacing w:val="40"/>
        </w:rPr>
        <w:t xml:space="preserve"> </w:t>
      </w:r>
      <w:r>
        <w:t>worth INR 2.2 billion.</w:t>
      </w:r>
      <w:hyperlink w:anchor="_bookmark7" w:history="1">
        <w:r>
          <w:rPr>
            <w:position w:val="5"/>
            <w:sz w:val="14"/>
          </w:rPr>
          <w:t>9</w:t>
        </w:r>
      </w:hyperlink>
      <w:r>
        <w:rPr>
          <w:spacing w:val="32"/>
          <w:position w:val="5"/>
          <w:sz w:val="14"/>
        </w:rPr>
        <w:t xml:space="preserve"> </w:t>
      </w:r>
      <w:r>
        <w:t>(In January 2019, the exchange rate was approximately USD 1 = INR 71). That would be the magnitude of the financial penalty on Kochhar.</w:t>
      </w:r>
    </w:p>
    <w:p w14:paraId="7879D99D" w14:textId="77777777" w:rsidR="00393283" w:rsidRDefault="00000000">
      <w:pPr>
        <w:pStyle w:val="ListParagraph"/>
        <w:numPr>
          <w:ilvl w:val="0"/>
          <w:numId w:val="1"/>
        </w:numPr>
        <w:tabs>
          <w:tab w:val="left" w:pos="858"/>
          <w:tab w:val="left" w:pos="860"/>
        </w:tabs>
        <w:spacing w:line="249" w:lineRule="auto"/>
        <w:ind w:left="860" w:right="137"/>
        <w:jc w:val="both"/>
      </w:pPr>
      <w:proofErr w:type="spellStart"/>
      <w:r>
        <w:rPr>
          <w:i/>
        </w:rPr>
        <w:t>Clawback</w:t>
      </w:r>
      <w:proofErr w:type="spellEnd"/>
      <w:r>
        <w:rPr>
          <w:i/>
        </w:rPr>
        <w:t xml:space="preserve"> All Past Benefits and Cancel All Future Benefits: </w:t>
      </w:r>
      <w:r>
        <w:t>The cash bonuses paid to</w:t>
      </w:r>
      <w:r>
        <w:rPr>
          <w:spacing w:val="40"/>
        </w:rPr>
        <w:t xml:space="preserve"> </w:t>
      </w:r>
      <w:r>
        <w:t>Kochhar since 2009 were estimated at INR 98.2 million. In addition, she had been granted options to buy 9.4 million shares of the Bank during this period; out of these she had already exercised options on 3.7 million shares worth INR 1.3 billion. In addition to these, she would lose INR 2.2 billion worth of unexercised options.</w:t>
      </w:r>
    </w:p>
    <w:p w14:paraId="759E58B6" w14:textId="77777777" w:rsidR="00393283" w:rsidRDefault="00000000">
      <w:pPr>
        <w:pStyle w:val="BodyText"/>
        <w:spacing w:before="151" w:line="249" w:lineRule="auto"/>
        <w:ind w:left="140" w:right="138"/>
        <w:jc w:val="both"/>
      </w:pPr>
      <w:r>
        <w:t>The second and third options presupposed “termination for cause”. The Board, therefore, must first reclassify her separation as “termination for cause” instead of termination simpliciter (acceptance of resignation).</w:t>
      </w:r>
    </w:p>
    <w:p w14:paraId="56BE47E9" w14:textId="77777777" w:rsidR="00393283" w:rsidRDefault="00000000">
      <w:pPr>
        <w:pStyle w:val="Heading1"/>
        <w:spacing w:before="153"/>
      </w:pPr>
      <w:bookmarkStart w:id="6" w:name="Comparable_Board_Actions_in_Other_Organi"/>
      <w:bookmarkEnd w:id="6"/>
      <w:r>
        <w:t>Comparable</w:t>
      </w:r>
      <w:r>
        <w:rPr>
          <w:spacing w:val="-8"/>
        </w:rPr>
        <w:t xml:space="preserve"> </w:t>
      </w:r>
      <w:r>
        <w:t>Board</w:t>
      </w:r>
      <w:r>
        <w:rPr>
          <w:spacing w:val="-8"/>
        </w:rPr>
        <w:t xml:space="preserve"> </w:t>
      </w:r>
      <w:r>
        <w:t>Actions</w:t>
      </w:r>
      <w:r>
        <w:rPr>
          <w:spacing w:val="-9"/>
        </w:rPr>
        <w:t xml:space="preserve"> </w:t>
      </w:r>
      <w:r>
        <w:t>in</w:t>
      </w:r>
      <w:r>
        <w:rPr>
          <w:spacing w:val="-8"/>
        </w:rPr>
        <w:t xml:space="preserve"> </w:t>
      </w:r>
      <w:r>
        <w:t>Other</w:t>
      </w:r>
      <w:r>
        <w:rPr>
          <w:spacing w:val="-8"/>
        </w:rPr>
        <w:t xml:space="preserve"> </w:t>
      </w:r>
      <w:r>
        <w:rPr>
          <w:spacing w:val="-2"/>
        </w:rPr>
        <w:t>Organizations</w:t>
      </w:r>
    </w:p>
    <w:p w14:paraId="5CD990FB" w14:textId="77777777" w:rsidR="00393283" w:rsidRDefault="00000000">
      <w:pPr>
        <w:pStyle w:val="BodyText"/>
        <w:spacing w:before="169" w:line="249" w:lineRule="auto"/>
        <w:ind w:left="139" w:right="138"/>
        <w:jc w:val="both"/>
      </w:pPr>
      <w:r>
        <w:t>Termination “for cause” of a CEO was rare but not unknown. There was paucity of such instances in India. Several examples of publicly disclosed episodes of this nature in the world</w:t>
      </w:r>
      <w:hyperlink w:anchor="_bookmark8" w:history="1">
        <w:r>
          <w:rPr>
            <w:position w:val="5"/>
            <w:sz w:val="14"/>
          </w:rPr>
          <w:t>10</w:t>
        </w:r>
      </w:hyperlink>
      <w:r>
        <w:rPr>
          <w:spacing w:val="40"/>
          <w:position w:val="5"/>
          <w:sz w:val="14"/>
        </w:rPr>
        <w:t xml:space="preserve"> </w:t>
      </w:r>
      <w:r>
        <w:t xml:space="preserve">were available to Chaturvedi as precedents. The following two were relevant for Chaturvedi’s </w:t>
      </w:r>
      <w:r>
        <w:rPr>
          <w:spacing w:val="-2"/>
        </w:rPr>
        <w:t>decision.</w:t>
      </w:r>
    </w:p>
    <w:p w14:paraId="219BD722" w14:textId="77777777" w:rsidR="00393283" w:rsidRDefault="00000000">
      <w:pPr>
        <w:pStyle w:val="BodyText"/>
        <w:spacing w:before="158" w:line="249" w:lineRule="auto"/>
        <w:ind w:left="140" w:right="137" w:hanging="1"/>
        <w:jc w:val="both"/>
      </w:pPr>
      <w:r>
        <w:t xml:space="preserve">A well-known example of </w:t>
      </w:r>
      <w:proofErr w:type="spellStart"/>
      <w:r>
        <w:t>clawback</w:t>
      </w:r>
      <w:proofErr w:type="spellEnd"/>
      <w:r>
        <w:t xml:space="preserve"> of compensation, which rose to prominence in the banking sector in the aftermath of the Global Financial Crisis of 2008, was that of the US bank Wells Fargo in 2016. The Investigative Report of the Wells Fargo board noted the “extraordinary damage to Wells Fargo’s brand and reputation” due to “sales practice abuses”, and described the actions against its then Chairman and CEO as follows:</w:t>
      </w:r>
    </w:p>
    <w:p w14:paraId="7299070B" w14:textId="77777777" w:rsidR="00393283" w:rsidRDefault="00000000">
      <w:pPr>
        <w:pStyle w:val="BodyText"/>
        <w:spacing w:before="156" w:line="249" w:lineRule="auto"/>
        <w:ind w:left="140" w:right="134"/>
        <w:jc w:val="both"/>
        <w:rPr>
          <w:sz w:val="14"/>
        </w:rPr>
      </w:pPr>
      <w:r>
        <w:t>“On September 25, 2016, in recognition of his accountability for unacceptable retail banking sales</w:t>
      </w:r>
      <w:r>
        <w:rPr>
          <w:spacing w:val="-3"/>
        </w:rPr>
        <w:t xml:space="preserve"> </w:t>
      </w:r>
      <w:r>
        <w:t>practices,</w:t>
      </w:r>
      <w:r>
        <w:rPr>
          <w:spacing w:val="-3"/>
        </w:rPr>
        <w:t xml:space="preserve"> </w:t>
      </w:r>
      <w:r>
        <w:t>John</w:t>
      </w:r>
      <w:r>
        <w:rPr>
          <w:spacing w:val="-3"/>
        </w:rPr>
        <w:t xml:space="preserve"> </w:t>
      </w:r>
      <w:r>
        <w:t>Stumpf</w:t>
      </w:r>
      <w:r>
        <w:rPr>
          <w:spacing w:val="-4"/>
        </w:rPr>
        <w:t xml:space="preserve"> </w:t>
      </w:r>
      <w:r>
        <w:t>agreed</w:t>
      </w:r>
      <w:r>
        <w:rPr>
          <w:spacing w:val="-4"/>
        </w:rPr>
        <w:t xml:space="preserve"> </w:t>
      </w:r>
      <w:r>
        <w:t>with</w:t>
      </w:r>
      <w:r>
        <w:rPr>
          <w:spacing w:val="-3"/>
        </w:rPr>
        <w:t xml:space="preserve"> </w:t>
      </w:r>
      <w:r>
        <w:t>the</w:t>
      </w:r>
      <w:r>
        <w:rPr>
          <w:spacing w:val="-3"/>
        </w:rPr>
        <w:t xml:space="preserve"> </w:t>
      </w:r>
      <w:r>
        <w:t>Board</w:t>
      </w:r>
      <w:r>
        <w:rPr>
          <w:spacing w:val="-3"/>
        </w:rPr>
        <w:t xml:space="preserve"> </w:t>
      </w:r>
      <w:r>
        <w:t>to</w:t>
      </w:r>
      <w:r>
        <w:rPr>
          <w:spacing w:val="-3"/>
        </w:rPr>
        <w:t xml:space="preserve"> </w:t>
      </w:r>
      <w:r>
        <w:t>forfeit</w:t>
      </w:r>
      <w:r>
        <w:rPr>
          <w:spacing w:val="-3"/>
        </w:rPr>
        <w:t xml:space="preserve"> </w:t>
      </w:r>
      <w:proofErr w:type="gramStart"/>
      <w:r>
        <w:t>all</w:t>
      </w:r>
      <w:r>
        <w:rPr>
          <w:spacing w:val="-4"/>
        </w:rPr>
        <w:t xml:space="preserve"> </w:t>
      </w:r>
      <w:r>
        <w:t>of</w:t>
      </w:r>
      <w:proofErr w:type="gramEnd"/>
      <w:r>
        <w:rPr>
          <w:spacing w:val="-4"/>
        </w:rPr>
        <w:t xml:space="preserve"> </w:t>
      </w:r>
      <w:r>
        <w:t>his</w:t>
      </w:r>
      <w:r>
        <w:rPr>
          <w:spacing w:val="-3"/>
        </w:rPr>
        <w:t xml:space="preserve"> </w:t>
      </w:r>
      <w:r>
        <w:t>unvested</w:t>
      </w:r>
      <w:r>
        <w:rPr>
          <w:spacing w:val="-3"/>
        </w:rPr>
        <w:t xml:space="preserve"> </w:t>
      </w:r>
      <w:r>
        <w:t>equity</w:t>
      </w:r>
      <w:r>
        <w:rPr>
          <w:spacing w:val="-3"/>
        </w:rPr>
        <w:t xml:space="preserve"> </w:t>
      </w:r>
      <w:r>
        <w:t>awards</w:t>
      </w:r>
      <w:r>
        <w:rPr>
          <w:spacing w:val="-3"/>
        </w:rPr>
        <w:t xml:space="preserve"> </w:t>
      </w:r>
      <w:r>
        <w:t xml:space="preserve">in the approximate amount of $41 million and to receive no annual bonus for 2016. He resigned as CEO and Chairman on October 12, 2016. On April 7, 2017, the Board additionally determined that Wells Fargo will </w:t>
      </w:r>
      <w:proofErr w:type="spellStart"/>
      <w:r>
        <w:t>clawback</w:t>
      </w:r>
      <w:proofErr w:type="spellEnd"/>
      <w:r>
        <w:t xml:space="preserve"> approximately $28 million of Stumpf’s incentive compensation paid in March 2016 under an equity grant made in 2013.”</w:t>
      </w:r>
      <w:hyperlink w:anchor="_bookmark9" w:history="1">
        <w:r>
          <w:rPr>
            <w:position w:val="5"/>
            <w:sz w:val="14"/>
          </w:rPr>
          <w:t>11</w:t>
        </w:r>
      </w:hyperlink>
      <w:r>
        <w:rPr>
          <w:position w:val="5"/>
          <w:sz w:val="14"/>
        </w:rPr>
        <w:t>,</w:t>
      </w:r>
      <w:hyperlink w:anchor="_bookmark10" w:history="1">
        <w:r>
          <w:rPr>
            <w:position w:val="5"/>
            <w:sz w:val="14"/>
          </w:rPr>
          <w:t>12</w:t>
        </w:r>
      </w:hyperlink>
    </w:p>
    <w:p w14:paraId="73B02D13" w14:textId="77777777" w:rsidR="00393283" w:rsidRDefault="00000000">
      <w:pPr>
        <w:pStyle w:val="BodyText"/>
        <w:spacing w:before="156" w:line="249" w:lineRule="auto"/>
        <w:ind w:left="140" w:right="136"/>
        <w:jc w:val="both"/>
      </w:pPr>
      <w:r>
        <w:t>The more important question before the ICICI Board was whether the acceptance of the CEO’s resignation (termination without cause) could be subsequently reclassified as one with cause. This</w:t>
      </w:r>
      <w:r>
        <w:rPr>
          <w:spacing w:val="58"/>
        </w:rPr>
        <w:t xml:space="preserve"> </w:t>
      </w:r>
      <w:r>
        <w:t>kind</w:t>
      </w:r>
      <w:r>
        <w:rPr>
          <w:spacing w:val="58"/>
        </w:rPr>
        <w:t xml:space="preserve"> </w:t>
      </w:r>
      <w:r>
        <w:t>of</w:t>
      </w:r>
      <w:r>
        <w:rPr>
          <w:spacing w:val="58"/>
        </w:rPr>
        <w:t xml:space="preserve"> </w:t>
      </w:r>
      <w:r>
        <w:t>reclassification</w:t>
      </w:r>
      <w:r>
        <w:rPr>
          <w:spacing w:val="58"/>
        </w:rPr>
        <w:t xml:space="preserve"> </w:t>
      </w:r>
      <w:r>
        <w:t>was</w:t>
      </w:r>
      <w:r>
        <w:rPr>
          <w:spacing w:val="58"/>
        </w:rPr>
        <w:t xml:space="preserve"> </w:t>
      </w:r>
      <w:r>
        <w:t>even</w:t>
      </w:r>
      <w:r>
        <w:rPr>
          <w:spacing w:val="58"/>
        </w:rPr>
        <w:t xml:space="preserve"> </w:t>
      </w:r>
      <w:r>
        <w:t>rarer</w:t>
      </w:r>
      <w:r>
        <w:rPr>
          <w:spacing w:val="57"/>
        </w:rPr>
        <w:t xml:space="preserve"> </w:t>
      </w:r>
      <w:r>
        <w:t>than</w:t>
      </w:r>
      <w:r>
        <w:rPr>
          <w:spacing w:val="58"/>
        </w:rPr>
        <w:t xml:space="preserve"> </w:t>
      </w:r>
      <w:r>
        <w:t>termination</w:t>
      </w:r>
      <w:r>
        <w:rPr>
          <w:spacing w:val="58"/>
        </w:rPr>
        <w:t xml:space="preserve"> </w:t>
      </w:r>
      <w:r>
        <w:t>for</w:t>
      </w:r>
      <w:r>
        <w:rPr>
          <w:spacing w:val="57"/>
        </w:rPr>
        <w:t xml:space="preserve"> </w:t>
      </w:r>
      <w:r>
        <w:t>cause,</w:t>
      </w:r>
      <w:r>
        <w:rPr>
          <w:spacing w:val="58"/>
        </w:rPr>
        <w:t xml:space="preserve"> </w:t>
      </w:r>
      <w:r>
        <w:t>but</w:t>
      </w:r>
      <w:r>
        <w:rPr>
          <w:spacing w:val="58"/>
        </w:rPr>
        <w:t xml:space="preserve"> </w:t>
      </w:r>
      <w:r>
        <w:t>there</w:t>
      </w:r>
      <w:r>
        <w:rPr>
          <w:spacing w:val="58"/>
        </w:rPr>
        <w:t xml:space="preserve"> </w:t>
      </w:r>
      <w:r>
        <w:t>was</w:t>
      </w:r>
      <w:r>
        <w:rPr>
          <w:spacing w:val="57"/>
        </w:rPr>
        <w:t xml:space="preserve"> </w:t>
      </w:r>
      <w:r>
        <w:t>an</w:t>
      </w:r>
    </w:p>
    <w:p w14:paraId="48BE2A50" w14:textId="77777777" w:rsidR="00393283" w:rsidRDefault="00000000">
      <w:pPr>
        <w:pStyle w:val="BodyText"/>
        <w:spacing w:before="73"/>
        <w:rPr>
          <w:sz w:val="20"/>
        </w:rPr>
      </w:pPr>
      <w:r>
        <w:rPr>
          <w:noProof/>
        </w:rPr>
        <mc:AlternateContent>
          <mc:Choice Requires="wps">
            <w:drawing>
              <wp:anchor distT="0" distB="0" distL="0" distR="0" simplePos="0" relativeHeight="487590912" behindDoc="1" locked="0" layoutInCell="1" allowOverlap="1" wp14:anchorId="1EB046DD" wp14:editId="6B9B47B3">
                <wp:simplePos x="0" y="0"/>
                <wp:positionH relativeFrom="page">
                  <wp:posOffset>914400</wp:posOffset>
                </wp:positionH>
                <wp:positionV relativeFrom="paragraph">
                  <wp:posOffset>213957</wp:posOffset>
                </wp:positionV>
                <wp:extent cx="1828800" cy="762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7620"/>
                        </a:xfrm>
                        <a:custGeom>
                          <a:avLst/>
                          <a:gdLst/>
                          <a:ahLst/>
                          <a:cxnLst/>
                          <a:rect l="l" t="t" r="r" b="b"/>
                          <a:pathLst>
                            <a:path w="1828800" h="7620">
                              <a:moveTo>
                                <a:pt x="1828800" y="0"/>
                              </a:moveTo>
                              <a:lnTo>
                                <a:pt x="0" y="0"/>
                              </a:lnTo>
                              <a:lnTo>
                                <a:pt x="0" y="7619"/>
                              </a:lnTo>
                              <a:lnTo>
                                <a:pt x="1828800" y="7619"/>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98480C9" id="Graphic 16" o:spid="_x0000_s1026" style="position:absolute;margin-left:1in;margin-top:16.85pt;width:2in;height:.6pt;z-index:-15725568;visibility:visible;mso-wrap-style:square;mso-wrap-distance-left:0;mso-wrap-distance-top:0;mso-wrap-distance-right:0;mso-wrap-distance-bottom:0;mso-position-horizontal:absolute;mso-position-horizontal-relative:page;mso-position-vertical:absolute;mso-position-vertical-relative:text;v-text-anchor:top" coordsize="182880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" path="m1828800,l,,,7619r1828800,l1828800,xe" fillcolor="black" stroked="f">
                <v:path arrowok="t"/>
                <w10:wrap type="topAndBottom" anchorx="page"/>
              </v:shape>
            </w:pict>
          </mc:Fallback>
        </mc:AlternateContent>
      </w:r>
    </w:p>
    <w:p w14:paraId="68AEB4F8" w14:textId="77777777" w:rsidR="00393283" w:rsidRDefault="00393283">
      <w:pPr>
        <w:spacing w:line="215" w:lineRule="exact"/>
        <w:rPr>
          <w:sz w:val="18"/>
        </w:rPr>
        <w:sectPr w:rsidR="00393283">
          <w:pgSz w:w="12240" w:h="15840"/>
          <w:pgMar w:top="1240" w:right="1300" w:bottom="700" w:left="1300" w:header="916" w:footer="501" w:gutter="0"/>
          <w:cols w:space="720"/>
        </w:sectPr>
      </w:pPr>
      <w:bookmarkStart w:id="7" w:name="_bookmark7"/>
      <w:bookmarkEnd w:id="7"/>
    </w:p>
    <w:p w14:paraId="1161851F" w14:textId="00AC0A5B" w:rsidR="00393283" w:rsidRDefault="00000000">
      <w:pPr>
        <w:pStyle w:val="BodyText"/>
        <w:spacing w:before="201" w:line="249" w:lineRule="auto"/>
        <w:ind w:left="140" w:right="136"/>
        <w:jc w:val="both"/>
      </w:pPr>
      <w:r>
        <w:lastRenderedPageBreak/>
        <w:t>example</w:t>
      </w:r>
      <w:r>
        <w:rPr>
          <w:spacing w:val="-1"/>
        </w:rPr>
        <w:t xml:space="preserve"> </w:t>
      </w:r>
      <w:r>
        <w:t>of</w:t>
      </w:r>
      <w:r>
        <w:rPr>
          <w:spacing w:val="-1"/>
        </w:rPr>
        <w:t xml:space="preserve"> </w:t>
      </w:r>
      <w:r>
        <w:t>this</w:t>
      </w:r>
      <w:r>
        <w:rPr>
          <w:spacing w:val="-1"/>
        </w:rPr>
        <w:t xml:space="preserve"> </w:t>
      </w:r>
      <w:r>
        <w:t>in</w:t>
      </w:r>
      <w:r>
        <w:rPr>
          <w:spacing w:val="-1"/>
        </w:rPr>
        <w:t xml:space="preserve"> </w:t>
      </w:r>
      <w:r>
        <w:t>the</w:t>
      </w:r>
      <w:r>
        <w:rPr>
          <w:spacing w:val="-1"/>
        </w:rPr>
        <w:t xml:space="preserve"> </w:t>
      </w:r>
      <w:r>
        <w:t>United</w:t>
      </w:r>
      <w:r>
        <w:rPr>
          <w:spacing w:val="-1"/>
        </w:rPr>
        <w:t xml:space="preserve"> </w:t>
      </w:r>
      <w:r>
        <w:t>States.</w:t>
      </w:r>
      <w:r>
        <w:rPr>
          <w:spacing w:val="-2"/>
        </w:rPr>
        <w:t xml:space="preserve"> </w:t>
      </w:r>
      <w:r>
        <w:t>In</w:t>
      </w:r>
      <w:r>
        <w:rPr>
          <w:spacing w:val="-2"/>
        </w:rPr>
        <w:t xml:space="preserve"> </w:t>
      </w:r>
      <w:r>
        <w:t>November</w:t>
      </w:r>
      <w:r>
        <w:rPr>
          <w:spacing w:val="-2"/>
        </w:rPr>
        <w:t xml:space="preserve"> </w:t>
      </w:r>
      <w:r>
        <w:t>2018,</w:t>
      </w:r>
      <w:r>
        <w:rPr>
          <w:spacing w:val="-1"/>
        </w:rPr>
        <w:t xml:space="preserve"> </w:t>
      </w:r>
      <w:r>
        <w:t>Exide</w:t>
      </w:r>
      <w:r>
        <w:rPr>
          <w:spacing w:val="-1"/>
        </w:rPr>
        <w:t xml:space="preserve"> </w:t>
      </w:r>
      <w:r>
        <w:t>Technologies</w:t>
      </w:r>
      <w:r>
        <w:rPr>
          <w:spacing w:val="-1"/>
        </w:rPr>
        <w:t xml:space="preserve"> </w:t>
      </w:r>
      <w:r>
        <w:t>terminated</w:t>
      </w:r>
      <w:r>
        <w:rPr>
          <w:spacing w:val="-1"/>
        </w:rPr>
        <w:t xml:space="preserve"> </w:t>
      </w:r>
      <w:r>
        <w:t>its</w:t>
      </w:r>
      <w:r>
        <w:rPr>
          <w:spacing w:val="-2"/>
        </w:rPr>
        <w:t xml:space="preserve"> </w:t>
      </w:r>
      <w:r>
        <w:t>CEO, Victor Koelsch, without cause, but a few months later reclassified it as termination for cause to avoid a separation payment</w:t>
      </w:r>
      <w:hyperlink w:anchor="_bookmark11" w:history="1">
        <w:r>
          <w:rPr>
            <w:position w:val="5"/>
            <w:sz w:val="14"/>
          </w:rPr>
          <w:t>13</w:t>
        </w:r>
      </w:hyperlink>
      <w:r>
        <w:t xml:space="preserve">. The CEO filed for arbitration, and the arbitrator ruled in </w:t>
      </w:r>
      <w:proofErr w:type="spellStart"/>
      <w:r>
        <w:t>favour</w:t>
      </w:r>
      <w:proofErr w:type="spellEnd"/>
      <w:r>
        <w:rPr>
          <w:spacing w:val="40"/>
        </w:rPr>
        <w:t xml:space="preserve"> </w:t>
      </w:r>
      <w:r>
        <w:t>of Koelsch for two reasons: (a) Delaware law did not allow Exide to rely on “after-acquired evidence,” i.e., discovery of Koelsch’s conduct after his termination, to “reclassify” Koelsch’s termination after the fact; (b) Koelsch’s conduct was not grossly negligent under Delaware law.</w:t>
      </w:r>
    </w:p>
    <w:p w14:paraId="653CAB29" w14:textId="77777777" w:rsidR="00393283" w:rsidRDefault="00000000">
      <w:pPr>
        <w:pStyle w:val="Heading1"/>
        <w:spacing w:before="150"/>
      </w:pPr>
      <w:bookmarkStart w:id="8" w:name="Relevant_Guideline_in_India_"/>
      <w:bookmarkEnd w:id="8"/>
      <w:r>
        <w:t>Relevant</w:t>
      </w:r>
      <w:r>
        <w:rPr>
          <w:spacing w:val="-9"/>
        </w:rPr>
        <w:t xml:space="preserve"> </w:t>
      </w:r>
      <w:r>
        <w:t>Guideline</w:t>
      </w:r>
      <w:r>
        <w:rPr>
          <w:spacing w:val="-8"/>
        </w:rPr>
        <w:t xml:space="preserve"> </w:t>
      </w:r>
      <w:r>
        <w:t>in</w:t>
      </w:r>
      <w:r>
        <w:rPr>
          <w:spacing w:val="-9"/>
        </w:rPr>
        <w:t xml:space="preserve"> </w:t>
      </w:r>
      <w:r>
        <w:rPr>
          <w:spacing w:val="-4"/>
        </w:rPr>
        <w:t>India</w:t>
      </w:r>
    </w:p>
    <w:p w14:paraId="637F26DF" w14:textId="77777777" w:rsidR="00393283" w:rsidRDefault="00000000">
      <w:pPr>
        <w:pStyle w:val="BodyText"/>
        <w:spacing w:before="169" w:line="249" w:lineRule="auto"/>
        <w:ind w:left="139" w:right="134"/>
        <w:jc w:val="both"/>
      </w:pPr>
      <w:r>
        <w:t xml:space="preserve">The Reserve Bank of India also issued guidelines covering </w:t>
      </w:r>
      <w:proofErr w:type="spellStart"/>
      <w:r>
        <w:t>clawback</w:t>
      </w:r>
      <w:proofErr w:type="spellEnd"/>
      <w:r>
        <w:fldChar w:fldCharType="begin"/>
      </w:r>
      <w:r>
        <w:instrText>HYPERLINK \l "_bookmark12"</w:instrText>
      </w:r>
      <w:r>
        <w:fldChar w:fldCharType="separate"/>
      </w:r>
      <w:r>
        <w:rPr>
          <w:position w:val="5"/>
          <w:sz w:val="14"/>
        </w:rPr>
        <w:t>14</w:t>
      </w:r>
      <w:r>
        <w:rPr>
          <w:position w:val="5"/>
          <w:sz w:val="14"/>
        </w:rPr>
        <w:fldChar w:fldCharType="end"/>
      </w:r>
      <w:r>
        <w:rPr>
          <w:spacing w:val="40"/>
          <w:position w:val="5"/>
          <w:sz w:val="14"/>
        </w:rPr>
        <w:t xml:space="preserve"> </w:t>
      </w:r>
      <w:r>
        <w:t>which were as follows: “In the event of negative contributions of the bank and/or the relevant line of business in any year, the deferred compensation should be subjected to malus/</w:t>
      </w:r>
      <w:proofErr w:type="spellStart"/>
      <w:r>
        <w:t>clawback</w:t>
      </w:r>
      <w:proofErr w:type="spellEnd"/>
      <w:r>
        <w:t xml:space="preserve"> arrangements. A</w:t>
      </w:r>
      <w:r>
        <w:rPr>
          <w:spacing w:val="40"/>
        </w:rPr>
        <w:t xml:space="preserve"> </w:t>
      </w:r>
      <w:r>
        <w:t>malus arrangement permits the bank to prevent vesting of all or part of the amount of a</w:t>
      </w:r>
      <w:r>
        <w:rPr>
          <w:spacing w:val="40"/>
        </w:rPr>
        <w:t xml:space="preserve"> </w:t>
      </w:r>
      <w:r>
        <w:t xml:space="preserve">deferred remuneration. Malus arrangement does not reverse vesting after it has already occurred. A </w:t>
      </w:r>
      <w:proofErr w:type="spellStart"/>
      <w:r>
        <w:t>clawback</w:t>
      </w:r>
      <w:proofErr w:type="spellEnd"/>
      <w:r>
        <w:t>, on the other hand, is a contractual agreement between the employee and the bank in which the employee agrees to return previously paid or vested remuneration to the bank under certain circumstances. Banks may put in place appropriate modalities to</w:t>
      </w:r>
      <w:r>
        <w:rPr>
          <w:spacing w:val="80"/>
        </w:rPr>
        <w:t xml:space="preserve"> </w:t>
      </w:r>
      <w:r>
        <w:t xml:space="preserve">incorporate malus / </w:t>
      </w:r>
      <w:proofErr w:type="spellStart"/>
      <w:r>
        <w:t>clawback</w:t>
      </w:r>
      <w:proofErr w:type="spellEnd"/>
      <w:r>
        <w:t xml:space="preserve"> mechanism in respect of variable pay, considering relevant statutory and regulatory stipulations as applicable.”</w:t>
      </w:r>
    </w:p>
    <w:p w14:paraId="20033731" w14:textId="77777777" w:rsidR="00393283" w:rsidRDefault="00000000">
      <w:pPr>
        <w:pStyle w:val="Heading1"/>
        <w:spacing w:before="148"/>
        <w:ind w:left="139"/>
      </w:pPr>
      <w:r>
        <w:t>Preparing</w:t>
      </w:r>
      <w:r>
        <w:rPr>
          <w:spacing w:val="-8"/>
        </w:rPr>
        <w:t xml:space="preserve"> </w:t>
      </w:r>
      <w:r>
        <w:t>for</w:t>
      </w:r>
      <w:r>
        <w:rPr>
          <w:spacing w:val="-8"/>
        </w:rPr>
        <w:t xml:space="preserve"> </w:t>
      </w:r>
      <w:r>
        <w:t>the</w:t>
      </w:r>
      <w:r>
        <w:rPr>
          <w:spacing w:val="-7"/>
        </w:rPr>
        <w:t xml:space="preserve"> </w:t>
      </w:r>
      <w:r>
        <w:t>January</w:t>
      </w:r>
      <w:r>
        <w:rPr>
          <w:spacing w:val="-7"/>
        </w:rPr>
        <w:t xml:space="preserve"> </w:t>
      </w:r>
      <w:r>
        <w:t>2019</w:t>
      </w:r>
      <w:r>
        <w:rPr>
          <w:spacing w:val="-7"/>
        </w:rPr>
        <w:t xml:space="preserve"> </w:t>
      </w:r>
      <w:r>
        <w:t>Board</w:t>
      </w:r>
      <w:r>
        <w:rPr>
          <w:spacing w:val="-8"/>
        </w:rPr>
        <w:t xml:space="preserve"> </w:t>
      </w:r>
      <w:r>
        <w:rPr>
          <w:spacing w:val="-2"/>
        </w:rPr>
        <w:t>Meeting</w:t>
      </w:r>
    </w:p>
    <w:p w14:paraId="36692825" w14:textId="77777777" w:rsidR="00393283" w:rsidRDefault="00000000">
      <w:pPr>
        <w:pStyle w:val="BodyText"/>
        <w:spacing w:before="170" w:line="249" w:lineRule="auto"/>
        <w:ind w:left="139" w:right="135"/>
        <w:jc w:val="both"/>
      </w:pPr>
      <w:r>
        <w:t>As Chaturvedi prepared for the Board meeting, he went over the events (Exhibit 2) that had necessitated the meeting in the first place. He had to be mindful of the dynamics resulting from the changes in Board composition</w:t>
      </w:r>
      <w:hyperlink w:anchor="_bookmark13" w:history="1">
        <w:r>
          <w:rPr>
            <w:position w:val="5"/>
            <w:sz w:val="14"/>
          </w:rPr>
          <w:t>15</w:t>
        </w:r>
      </w:hyperlink>
      <w:r>
        <w:rPr>
          <w:spacing w:val="35"/>
          <w:position w:val="5"/>
          <w:sz w:val="14"/>
        </w:rPr>
        <w:t xml:space="preserve"> </w:t>
      </w:r>
      <w:r>
        <w:t>between two critical dates — March 28, 2018, and January 30, 2019. He thought that out of the</w:t>
      </w:r>
      <w:r>
        <w:rPr>
          <w:spacing w:val="-1"/>
        </w:rPr>
        <w:t xml:space="preserve"> </w:t>
      </w:r>
      <w:r>
        <w:t>nine Independent Directors</w:t>
      </w:r>
      <w:hyperlink w:anchor="_bookmark14" w:history="1">
        <w:r>
          <w:rPr>
            <w:position w:val="5"/>
            <w:sz w:val="14"/>
          </w:rPr>
          <w:t>16</w:t>
        </w:r>
      </w:hyperlink>
      <w:r>
        <w:rPr>
          <w:spacing w:val="20"/>
          <w:position w:val="5"/>
          <w:sz w:val="14"/>
        </w:rPr>
        <w:t xml:space="preserve"> </w:t>
      </w:r>
      <w:r>
        <w:t>in 2019,</w:t>
      </w:r>
      <w:r>
        <w:rPr>
          <w:spacing w:val="-1"/>
        </w:rPr>
        <w:t xml:space="preserve"> </w:t>
      </w:r>
      <w:r>
        <w:t>he would have to deal more carefully with the four who had also been members of the board that exonerated Kochhar in March 2018. These directors were: Udai Chitale, Chair of the Audit Committee, Chartered Accountant with over four decades of practice; Neelam Dhawan, Chair of the Remuneration &amp; Nomination</w:t>
      </w:r>
      <w:r>
        <w:rPr>
          <w:spacing w:val="-1"/>
        </w:rPr>
        <w:t xml:space="preserve"> </w:t>
      </w:r>
      <w:r>
        <w:t>Committee;</w:t>
      </w:r>
      <w:r>
        <w:rPr>
          <w:spacing w:val="-2"/>
        </w:rPr>
        <w:t xml:space="preserve"> </w:t>
      </w:r>
      <w:r>
        <w:t>Dileep</w:t>
      </w:r>
      <w:r>
        <w:rPr>
          <w:spacing w:val="-1"/>
        </w:rPr>
        <w:t xml:space="preserve"> </w:t>
      </w:r>
      <w:r>
        <w:t>Choksi,</w:t>
      </w:r>
      <w:r>
        <w:rPr>
          <w:spacing w:val="-1"/>
        </w:rPr>
        <w:t xml:space="preserve"> </w:t>
      </w:r>
      <w:r>
        <w:t>Chartered</w:t>
      </w:r>
      <w:r>
        <w:rPr>
          <w:spacing w:val="-1"/>
        </w:rPr>
        <w:t xml:space="preserve"> </w:t>
      </w:r>
      <w:r>
        <w:t>Accountant</w:t>
      </w:r>
      <w:r>
        <w:rPr>
          <w:spacing w:val="-1"/>
        </w:rPr>
        <w:t xml:space="preserve"> </w:t>
      </w:r>
      <w:r>
        <w:t>with</w:t>
      </w:r>
      <w:r>
        <w:rPr>
          <w:spacing w:val="-1"/>
        </w:rPr>
        <w:t xml:space="preserve"> </w:t>
      </w:r>
      <w:r>
        <w:t>over</w:t>
      </w:r>
      <w:r>
        <w:rPr>
          <w:spacing w:val="-2"/>
        </w:rPr>
        <w:t xml:space="preserve"> </w:t>
      </w:r>
      <w:r>
        <w:t>three</w:t>
      </w:r>
      <w:r>
        <w:rPr>
          <w:spacing w:val="-1"/>
        </w:rPr>
        <w:t xml:space="preserve"> </w:t>
      </w:r>
      <w:r>
        <w:t>and</w:t>
      </w:r>
      <w:r>
        <w:rPr>
          <w:spacing w:val="-1"/>
        </w:rPr>
        <w:t xml:space="preserve"> </w:t>
      </w:r>
      <w:r>
        <w:t>half</w:t>
      </w:r>
      <w:r>
        <w:rPr>
          <w:spacing w:val="-1"/>
        </w:rPr>
        <w:t xml:space="preserve"> </w:t>
      </w:r>
      <w:r>
        <w:t xml:space="preserve">decades of experience in consulting/advisory; and V. K. Sharma, Former Chairman of Life Insurance Corporation of India (LIC), the largest life insurer in India (also a government owned </w:t>
      </w:r>
      <w:r>
        <w:rPr>
          <w:spacing w:val="-2"/>
        </w:rPr>
        <w:t>enterprise).</w:t>
      </w:r>
    </w:p>
    <w:p w14:paraId="7B35E902" w14:textId="77777777" w:rsidR="00393283" w:rsidRDefault="00000000">
      <w:pPr>
        <w:pStyle w:val="BodyText"/>
        <w:spacing w:before="153" w:line="249" w:lineRule="auto"/>
        <w:ind w:left="139" w:right="137"/>
        <w:jc w:val="both"/>
      </w:pPr>
      <w:r>
        <w:t xml:space="preserve">The four other Independent Directors, besides himself, who had joined the board after March 2018 did not carry the baggage of the decision to defend Kochhar. They were B. Sriram, a </w:t>
      </w:r>
      <w:proofErr w:type="gramStart"/>
      <w:r>
        <w:t>career</w:t>
      </w:r>
      <w:proofErr w:type="gramEnd"/>
    </w:p>
    <w:p w14:paraId="5E38DC33" w14:textId="77777777" w:rsidR="00393283" w:rsidRDefault="00000000">
      <w:pPr>
        <w:pStyle w:val="BodyText"/>
        <w:spacing w:before="3"/>
        <w:rPr>
          <w:sz w:val="15"/>
        </w:rPr>
      </w:pPr>
      <w:r>
        <w:rPr>
          <w:noProof/>
        </w:rPr>
        <mc:AlternateContent>
          <mc:Choice Requires="wps">
            <w:drawing>
              <wp:anchor distT="0" distB="0" distL="0" distR="0" simplePos="0" relativeHeight="487591936" behindDoc="1" locked="0" layoutInCell="1" allowOverlap="1" wp14:anchorId="495807E7" wp14:editId="5133FF29">
                <wp:simplePos x="0" y="0"/>
                <wp:positionH relativeFrom="page">
                  <wp:posOffset>914400</wp:posOffset>
                </wp:positionH>
                <wp:positionV relativeFrom="paragraph">
                  <wp:posOffset>131756</wp:posOffset>
                </wp:positionV>
                <wp:extent cx="1828800" cy="7620"/>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7620"/>
                        </a:xfrm>
                        <a:custGeom>
                          <a:avLst/>
                          <a:gdLst/>
                          <a:ahLst/>
                          <a:cxnLst/>
                          <a:rect l="l" t="t" r="r" b="b"/>
                          <a:pathLst>
                            <a:path w="1828800" h="7620">
                              <a:moveTo>
                                <a:pt x="1828800" y="0"/>
                              </a:moveTo>
                              <a:lnTo>
                                <a:pt x="0" y="0"/>
                              </a:lnTo>
                              <a:lnTo>
                                <a:pt x="0" y="7607"/>
                              </a:lnTo>
                              <a:lnTo>
                                <a:pt x="1828800" y="7607"/>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FBDD720" id="Graphic 18" o:spid="_x0000_s1026" style="position:absolute;margin-left:1in;margin-top:10.35pt;width:2in;height:.6pt;z-index:-15724544;visibility:visible;mso-wrap-style:square;mso-wrap-distance-left:0;mso-wrap-distance-top:0;mso-wrap-distance-right:0;mso-wrap-distance-bottom:0;mso-position-horizontal:absolute;mso-position-horizontal-relative:page;mso-position-vertical:absolute;mso-position-vertical-relative:text;v-text-anchor:top" coordsize="182880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" path="m1828800,l,,,7607r1828800,l1828800,xe" fillcolor="black" stroked="f">
                <v:path arrowok="t"/>
                <w10:wrap type="topAndBottom" anchorx="page"/>
              </v:shape>
            </w:pict>
          </mc:Fallback>
        </mc:AlternateContent>
      </w:r>
    </w:p>
    <w:p w14:paraId="57845E6B" w14:textId="77777777" w:rsidR="00393283" w:rsidRDefault="00393283">
      <w:pPr>
        <w:spacing w:line="249" w:lineRule="auto"/>
        <w:rPr>
          <w:sz w:val="18"/>
        </w:rPr>
        <w:sectPr w:rsidR="00393283">
          <w:pgSz w:w="12240" w:h="15840"/>
          <w:pgMar w:top="1240" w:right="1300" w:bottom="700" w:left="1300" w:header="916" w:footer="501" w:gutter="0"/>
          <w:cols w:space="720"/>
        </w:sectPr>
      </w:pPr>
      <w:bookmarkStart w:id="9" w:name="_bookmark11"/>
      <w:bookmarkEnd w:id="9"/>
    </w:p>
    <w:p w14:paraId="0C27080A" w14:textId="4BCFDF08" w:rsidR="00393283" w:rsidRDefault="00000000">
      <w:pPr>
        <w:pStyle w:val="BodyText"/>
        <w:spacing w:before="201" w:line="249" w:lineRule="auto"/>
        <w:ind w:left="140" w:right="135"/>
        <w:jc w:val="both"/>
      </w:pPr>
      <w:r>
        <w:lastRenderedPageBreak/>
        <w:t xml:space="preserve">banker, held senior positions in IDBI Bank and State Bank of India; Hari L. Mundra, MBA with about five decades of industry experience; Radhakrishnan Nair, career banker with additional experience in securities and insurance regulations; and Rama </w:t>
      </w:r>
      <w:proofErr w:type="spellStart"/>
      <w:r>
        <w:t>Bijapurkar</w:t>
      </w:r>
      <w:proofErr w:type="spellEnd"/>
      <w:r>
        <w:t>, MBA, successful independent management consultant for over three decades.</w:t>
      </w:r>
    </w:p>
    <w:p w14:paraId="506C20F4" w14:textId="77777777" w:rsidR="00393283" w:rsidRDefault="00393283">
      <w:pPr>
        <w:pStyle w:val="BodyText"/>
        <w:spacing w:before="6"/>
      </w:pPr>
    </w:p>
    <w:p w14:paraId="5F3908C1" w14:textId="77777777" w:rsidR="00393283" w:rsidRDefault="00000000">
      <w:pPr>
        <w:pStyle w:val="BodyText"/>
        <w:spacing w:before="1" w:line="249" w:lineRule="auto"/>
        <w:ind w:left="139" w:right="136"/>
        <w:jc w:val="both"/>
      </w:pPr>
      <w:r>
        <w:t xml:space="preserve">All the four Executive Directors in 2019 had worked with or under Kochhar for many years. They were Anup Bagchi, MBA, joined ICICI Group in 1992; Vijay Chandok, MMS, joined the ICICI Group in 1993; Vishakha </w:t>
      </w:r>
      <w:proofErr w:type="spellStart"/>
      <w:r>
        <w:t>Mulye</w:t>
      </w:r>
      <w:proofErr w:type="spellEnd"/>
      <w:r>
        <w:t>, Chartered Accountant, joined ICICI Group in 1993; Sandeep Bakhshi, MBA, with the ICICI Group for over three decades. Except Bakhshi, the other three had been members of the board that had exonerated Kochhar in March 2018.</w:t>
      </w:r>
    </w:p>
    <w:p w14:paraId="2A11C555" w14:textId="77777777" w:rsidR="00393283" w:rsidRDefault="00000000">
      <w:pPr>
        <w:pStyle w:val="BodyText"/>
        <w:spacing w:before="155" w:line="249" w:lineRule="auto"/>
        <w:ind w:left="139" w:right="135"/>
        <w:jc w:val="both"/>
      </w:pPr>
      <w:r>
        <w:t>Chaturvedi was aware of the heightened interest due to the publicity the case had received. A few days before the board meeting, the Central Bureau of Investigation (CBI) had filed a criminal complaint</w:t>
      </w:r>
      <w:hyperlink w:anchor="_bookmark15" w:history="1">
        <w:r>
          <w:rPr>
            <w:position w:val="5"/>
            <w:sz w:val="14"/>
          </w:rPr>
          <w:t>17</w:t>
        </w:r>
      </w:hyperlink>
      <w:r>
        <w:rPr>
          <w:spacing w:val="40"/>
          <w:position w:val="5"/>
          <w:sz w:val="14"/>
        </w:rPr>
        <w:t xml:space="preserve"> </w:t>
      </w:r>
      <w:r>
        <w:t>against Kochhar, the Videocon group and others involved. Chaturvedi realized that he would have to draw on his skills and experience to navigate the board through the critical decisions.</w:t>
      </w:r>
    </w:p>
    <w:p w14:paraId="06CC12F7" w14:textId="77777777" w:rsidR="00393283" w:rsidRDefault="00393283">
      <w:pPr>
        <w:pStyle w:val="BodyText"/>
        <w:rPr>
          <w:sz w:val="20"/>
        </w:rPr>
      </w:pPr>
    </w:p>
    <w:p w14:paraId="5E005356" w14:textId="77777777" w:rsidR="00393283" w:rsidRDefault="00393283">
      <w:pPr>
        <w:pStyle w:val="BodyText"/>
        <w:rPr>
          <w:sz w:val="20"/>
        </w:rPr>
      </w:pPr>
    </w:p>
    <w:p w14:paraId="4D8A00A1" w14:textId="77777777" w:rsidR="00393283" w:rsidRDefault="00393283">
      <w:pPr>
        <w:pStyle w:val="BodyText"/>
        <w:rPr>
          <w:sz w:val="20"/>
        </w:rPr>
      </w:pPr>
    </w:p>
    <w:p w14:paraId="4246FA07" w14:textId="77777777" w:rsidR="00393283" w:rsidRDefault="00393283">
      <w:pPr>
        <w:pStyle w:val="BodyText"/>
        <w:rPr>
          <w:sz w:val="20"/>
        </w:rPr>
      </w:pPr>
    </w:p>
    <w:p w14:paraId="37F2BAB5" w14:textId="77777777" w:rsidR="00393283" w:rsidRDefault="00393283">
      <w:pPr>
        <w:pStyle w:val="BodyText"/>
        <w:rPr>
          <w:sz w:val="20"/>
        </w:rPr>
      </w:pPr>
    </w:p>
    <w:p w14:paraId="75F17543" w14:textId="77777777" w:rsidR="00393283" w:rsidRDefault="00393283">
      <w:pPr>
        <w:pStyle w:val="BodyText"/>
        <w:rPr>
          <w:sz w:val="20"/>
        </w:rPr>
      </w:pPr>
    </w:p>
    <w:p w14:paraId="4B2C7E6E" w14:textId="77777777" w:rsidR="00393283" w:rsidRDefault="00393283">
      <w:pPr>
        <w:pStyle w:val="BodyText"/>
        <w:rPr>
          <w:sz w:val="20"/>
        </w:rPr>
      </w:pPr>
    </w:p>
    <w:p w14:paraId="04FB1BCE" w14:textId="77777777" w:rsidR="00393283" w:rsidRDefault="00393283">
      <w:pPr>
        <w:pStyle w:val="BodyText"/>
        <w:rPr>
          <w:sz w:val="20"/>
        </w:rPr>
      </w:pPr>
    </w:p>
    <w:p w14:paraId="30665925" w14:textId="77777777" w:rsidR="00393283" w:rsidRDefault="00393283">
      <w:pPr>
        <w:pStyle w:val="BodyText"/>
        <w:rPr>
          <w:sz w:val="20"/>
        </w:rPr>
      </w:pPr>
    </w:p>
    <w:p w14:paraId="6176B9D4" w14:textId="77777777" w:rsidR="00393283" w:rsidRDefault="00393283">
      <w:pPr>
        <w:pStyle w:val="BodyText"/>
        <w:rPr>
          <w:sz w:val="20"/>
        </w:rPr>
      </w:pPr>
    </w:p>
    <w:p w14:paraId="22C3EE9B" w14:textId="77777777" w:rsidR="00393283" w:rsidRDefault="00393283">
      <w:pPr>
        <w:pStyle w:val="BodyText"/>
        <w:rPr>
          <w:sz w:val="20"/>
        </w:rPr>
      </w:pPr>
    </w:p>
    <w:p w14:paraId="51A57C0F" w14:textId="77777777" w:rsidR="00393283" w:rsidRDefault="00393283">
      <w:pPr>
        <w:pStyle w:val="BodyText"/>
        <w:rPr>
          <w:sz w:val="20"/>
        </w:rPr>
      </w:pPr>
    </w:p>
    <w:p w14:paraId="54953DCA" w14:textId="77777777" w:rsidR="00393283" w:rsidRDefault="00393283">
      <w:pPr>
        <w:pStyle w:val="BodyText"/>
        <w:rPr>
          <w:sz w:val="20"/>
        </w:rPr>
      </w:pPr>
    </w:p>
    <w:p w14:paraId="7C704F43" w14:textId="77777777" w:rsidR="00393283" w:rsidRDefault="00393283">
      <w:pPr>
        <w:pStyle w:val="BodyText"/>
        <w:rPr>
          <w:sz w:val="20"/>
        </w:rPr>
      </w:pPr>
    </w:p>
    <w:p w14:paraId="7B9DB838" w14:textId="77777777" w:rsidR="00393283" w:rsidRDefault="00393283">
      <w:pPr>
        <w:pStyle w:val="BodyText"/>
        <w:rPr>
          <w:sz w:val="20"/>
        </w:rPr>
      </w:pPr>
    </w:p>
    <w:p w14:paraId="6CB13859" w14:textId="77777777" w:rsidR="00393283" w:rsidRDefault="00393283">
      <w:pPr>
        <w:pStyle w:val="BodyText"/>
        <w:rPr>
          <w:sz w:val="20"/>
        </w:rPr>
      </w:pPr>
    </w:p>
    <w:p w14:paraId="65CB9FD9" w14:textId="77777777" w:rsidR="00393283" w:rsidRDefault="00393283">
      <w:pPr>
        <w:pStyle w:val="BodyText"/>
        <w:rPr>
          <w:sz w:val="20"/>
        </w:rPr>
      </w:pPr>
    </w:p>
    <w:p w14:paraId="4FC028DD" w14:textId="77777777" w:rsidR="00393283" w:rsidRDefault="00393283">
      <w:pPr>
        <w:pStyle w:val="BodyText"/>
        <w:rPr>
          <w:sz w:val="20"/>
        </w:rPr>
      </w:pPr>
    </w:p>
    <w:p w14:paraId="19EC88BE" w14:textId="77777777" w:rsidR="00393283" w:rsidRDefault="00393283">
      <w:pPr>
        <w:pStyle w:val="BodyText"/>
        <w:rPr>
          <w:sz w:val="20"/>
        </w:rPr>
      </w:pPr>
    </w:p>
    <w:p w14:paraId="2246AE6D" w14:textId="77777777" w:rsidR="00393283" w:rsidRDefault="00393283">
      <w:pPr>
        <w:pStyle w:val="BodyText"/>
        <w:rPr>
          <w:sz w:val="20"/>
        </w:rPr>
      </w:pPr>
    </w:p>
    <w:p w14:paraId="0C9E576E" w14:textId="77777777" w:rsidR="00393283" w:rsidRDefault="00393283">
      <w:pPr>
        <w:pStyle w:val="BodyText"/>
        <w:rPr>
          <w:sz w:val="20"/>
        </w:rPr>
      </w:pPr>
    </w:p>
    <w:p w14:paraId="318CC38B" w14:textId="77777777" w:rsidR="00393283" w:rsidRDefault="00393283">
      <w:pPr>
        <w:pStyle w:val="BodyText"/>
        <w:rPr>
          <w:sz w:val="20"/>
        </w:rPr>
      </w:pPr>
    </w:p>
    <w:p w14:paraId="00368843" w14:textId="77777777" w:rsidR="00393283" w:rsidRDefault="00393283">
      <w:pPr>
        <w:pStyle w:val="BodyText"/>
        <w:rPr>
          <w:sz w:val="20"/>
        </w:rPr>
      </w:pPr>
    </w:p>
    <w:p w14:paraId="471620DF" w14:textId="77777777" w:rsidR="00393283" w:rsidRDefault="00393283">
      <w:pPr>
        <w:pStyle w:val="BodyText"/>
        <w:rPr>
          <w:sz w:val="20"/>
        </w:rPr>
      </w:pPr>
    </w:p>
    <w:p w14:paraId="36F7DD23" w14:textId="77777777" w:rsidR="00393283" w:rsidRDefault="00393283">
      <w:pPr>
        <w:pStyle w:val="BodyText"/>
        <w:rPr>
          <w:sz w:val="20"/>
        </w:rPr>
      </w:pPr>
    </w:p>
    <w:p w14:paraId="5DEB4C93" w14:textId="77777777" w:rsidR="00393283" w:rsidRDefault="00393283">
      <w:pPr>
        <w:pStyle w:val="BodyText"/>
        <w:rPr>
          <w:sz w:val="20"/>
        </w:rPr>
      </w:pPr>
    </w:p>
    <w:p w14:paraId="26E57A79" w14:textId="77777777" w:rsidR="00393283" w:rsidRDefault="00393283">
      <w:pPr>
        <w:pStyle w:val="BodyText"/>
        <w:rPr>
          <w:sz w:val="20"/>
        </w:rPr>
      </w:pPr>
    </w:p>
    <w:p w14:paraId="4C9829FB" w14:textId="77777777" w:rsidR="00393283" w:rsidRDefault="00393283">
      <w:pPr>
        <w:pStyle w:val="BodyText"/>
        <w:rPr>
          <w:sz w:val="20"/>
        </w:rPr>
      </w:pPr>
    </w:p>
    <w:p w14:paraId="048F5A9A" w14:textId="77777777" w:rsidR="00393283" w:rsidRDefault="00393283">
      <w:pPr>
        <w:pStyle w:val="BodyText"/>
        <w:rPr>
          <w:sz w:val="20"/>
        </w:rPr>
      </w:pPr>
    </w:p>
    <w:p w14:paraId="0A938650" w14:textId="77777777" w:rsidR="00393283" w:rsidRDefault="00393283">
      <w:pPr>
        <w:pStyle w:val="BodyText"/>
        <w:rPr>
          <w:sz w:val="20"/>
        </w:rPr>
      </w:pPr>
    </w:p>
    <w:p w14:paraId="58945FA9" w14:textId="77777777" w:rsidR="00393283" w:rsidRDefault="00393283">
      <w:pPr>
        <w:pStyle w:val="BodyText"/>
        <w:rPr>
          <w:sz w:val="20"/>
        </w:rPr>
      </w:pPr>
    </w:p>
    <w:p w14:paraId="4F26C3DD" w14:textId="77777777" w:rsidR="00393283" w:rsidRDefault="00393283">
      <w:pPr>
        <w:pStyle w:val="BodyText"/>
        <w:rPr>
          <w:sz w:val="20"/>
        </w:rPr>
      </w:pPr>
    </w:p>
    <w:p w14:paraId="10259757" w14:textId="6B162680" w:rsidR="00393283" w:rsidRDefault="00000000" w:rsidP="00B764E4">
      <w:pPr>
        <w:pStyle w:val="BodyText"/>
        <w:spacing w:before="181"/>
        <w:rPr>
          <w:sz w:val="18"/>
        </w:rPr>
      </w:pPr>
      <w:r>
        <w:rPr>
          <w:noProof/>
        </w:rPr>
        <mc:AlternateContent>
          <mc:Choice Requires="wps">
            <w:drawing>
              <wp:anchor distT="0" distB="0" distL="0" distR="0" simplePos="0" relativeHeight="487592960" behindDoc="1" locked="0" layoutInCell="1" allowOverlap="1" wp14:anchorId="4DEFCFA8" wp14:editId="03FE3B5F">
                <wp:simplePos x="0" y="0"/>
                <wp:positionH relativeFrom="page">
                  <wp:posOffset>914400</wp:posOffset>
                </wp:positionH>
                <wp:positionV relativeFrom="paragraph">
                  <wp:posOffset>282452</wp:posOffset>
                </wp:positionV>
                <wp:extent cx="1828800" cy="7620"/>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7620"/>
                        </a:xfrm>
                        <a:custGeom>
                          <a:avLst/>
                          <a:gdLst/>
                          <a:ahLst/>
                          <a:cxnLst/>
                          <a:rect l="l" t="t" r="r" b="b"/>
                          <a:pathLst>
                            <a:path w="1828800" h="7620">
                              <a:moveTo>
                                <a:pt x="1828800" y="0"/>
                              </a:moveTo>
                              <a:lnTo>
                                <a:pt x="0" y="0"/>
                              </a:lnTo>
                              <a:lnTo>
                                <a:pt x="0" y="7619"/>
                              </a:lnTo>
                              <a:lnTo>
                                <a:pt x="1828800" y="7619"/>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2728C21" id="Graphic 20" o:spid="_x0000_s1026" style="position:absolute;margin-left:1in;margin-top:22.25pt;width:2in;height:.6pt;z-index:-15723520;visibility:visible;mso-wrap-style:square;mso-wrap-distance-left:0;mso-wrap-distance-top:0;mso-wrap-distance-right:0;mso-wrap-distance-bottom:0;mso-position-horizontal:absolute;mso-position-horizontal-relative:page;mso-position-vertical:absolute;mso-position-vertical-relative:text;v-text-anchor:top" coordsize="182880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" path="m1828800,l,,,7619r1828800,l1828800,xe" fillcolor="black" stroked="f">
                <v:path arrowok="t"/>
                <w10:wrap type="topAndBottom" anchorx="page"/>
              </v:shape>
            </w:pict>
          </mc:Fallback>
        </mc:AlternateContent>
      </w:r>
      <w:r w:rsidR="00B764E4">
        <w:rPr>
          <w:sz w:val="18"/>
        </w:rPr>
        <w:t xml:space="preserve"> </w:t>
      </w:r>
    </w:p>
    <w:p w14:paraId="0D2BA1E6" w14:textId="77777777" w:rsidR="00393283" w:rsidRDefault="00393283">
      <w:pPr>
        <w:spacing w:line="249" w:lineRule="auto"/>
        <w:rPr>
          <w:sz w:val="18"/>
        </w:rPr>
        <w:sectPr w:rsidR="00393283">
          <w:pgSz w:w="12240" w:h="15840"/>
          <w:pgMar w:top="1240" w:right="1300" w:bottom="700" w:left="1300" w:header="916" w:footer="501" w:gutter="0"/>
          <w:cols w:space="720"/>
        </w:sectPr>
      </w:pPr>
    </w:p>
    <w:p w14:paraId="5DEEBE5C" w14:textId="660B1974" w:rsidR="00393283" w:rsidRDefault="00000000">
      <w:pPr>
        <w:spacing w:before="193"/>
        <w:jc w:val="center"/>
        <w:rPr>
          <w:rFonts w:ascii="Arial"/>
          <w:b/>
          <w:sz w:val="20"/>
        </w:rPr>
      </w:pPr>
      <w:bookmarkStart w:id="10" w:name="Exhibit_1:_Relevant_Excerpts_from_the_Co"/>
      <w:bookmarkEnd w:id="10"/>
      <w:r>
        <w:rPr>
          <w:rFonts w:ascii="Arial"/>
          <w:b/>
          <w:sz w:val="20"/>
        </w:rPr>
        <w:lastRenderedPageBreak/>
        <w:t>Exhibit</w:t>
      </w:r>
      <w:r>
        <w:rPr>
          <w:rFonts w:ascii="Arial"/>
          <w:b/>
          <w:spacing w:val="-3"/>
          <w:sz w:val="20"/>
        </w:rPr>
        <w:t xml:space="preserve"> </w:t>
      </w:r>
      <w:r>
        <w:rPr>
          <w:rFonts w:ascii="Arial"/>
          <w:b/>
          <w:sz w:val="20"/>
        </w:rPr>
        <w:t>1:</w:t>
      </w:r>
      <w:r>
        <w:rPr>
          <w:rFonts w:ascii="Arial"/>
          <w:b/>
          <w:spacing w:val="-2"/>
          <w:sz w:val="20"/>
        </w:rPr>
        <w:t xml:space="preserve"> </w:t>
      </w:r>
      <w:r>
        <w:rPr>
          <w:rFonts w:ascii="Arial"/>
          <w:b/>
          <w:sz w:val="20"/>
        </w:rPr>
        <w:t>Relevant</w:t>
      </w:r>
      <w:r>
        <w:rPr>
          <w:rFonts w:ascii="Arial"/>
          <w:b/>
          <w:spacing w:val="-3"/>
          <w:sz w:val="20"/>
        </w:rPr>
        <w:t xml:space="preserve"> </w:t>
      </w:r>
      <w:r>
        <w:rPr>
          <w:rFonts w:ascii="Arial"/>
          <w:b/>
          <w:sz w:val="20"/>
        </w:rPr>
        <w:t>Excerpts</w:t>
      </w:r>
      <w:r>
        <w:rPr>
          <w:rFonts w:ascii="Arial"/>
          <w:b/>
          <w:spacing w:val="-3"/>
          <w:sz w:val="20"/>
        </w:rPr>
        <w:t xml:space="preserve"> </w:t>
      </w:r>
      <w:r>
        <w:rPr>
          <w:rFonts w:ascii="Arial"/>
          <w:b/>
          <w:sz w:val="20"/>
        </w:rPr>
        <w:t>from</w:t>
      </w:r>
      <w:r>
        <w:rPr>
          <w:rFonts w:ascii="Arial"/>
          <w:b/>
          <w:spacing w:val="-3"/>
          <w:sz w:val="20"/>
        </w:rPr>
        <w:t xml:space="preserve"> </w:t>
      </w:r>
      <w:r>
        <w:rPr>
          <w:rFonts w:ascii="Arial"/>
          <w:b/>
          <w:sz w:val="20"/>
        </w:rPr>
        <w:t>the</w:t>
      </w:r>
      <w:r>
        <w:rPr>
          <w:rFonts w:ascii="Arial"/>
          <w:b/>
          <w:spacing w:val="-5"/>
          <w:sz w:val="20"/>
        </w:rPr>
        <w:t xml:space="preserve"> </w:t>
      </w:r>
      <w:r>
        <w:rPr>
          <w:rFonts w:ascii="Arial"/>
          <w:b/>
          <w:sz w:val="20"/>
        </w:rPr>
        <w:t>Code</w:t>
      </w:r>
      <w:r>
        <w:rPr>
          <w:rFonts w:ascii="Arial"/>
          <w:b/>
          <w:spacing w:val="-3"/>
          <w:sz w:val="20"/>
        </w:rPr>
        <w:t xml:space="preserve"> </w:t>
      </w:r>
      <w:r>
        <w:rPr>
          <w:rFonts w:ascii="Arial"/>
          <w:b/>
          <w:sz w:val="20"/>
        </w:rPr>
        <w:t>of</w:t>
      </w:r>
      <w:r>
        <w:rPr>
          <w:rFonts w:ascii="Arial"/>
          <w:b/>
          <w:spacing w:val="-2"/>
          <w:sz w:val="20"/>
        </w:rPr>
        <w:t xml:space="preserve"> </w:t>
      </w:r>
      <w:r>
        <w:rPr>
          <w:rFonts w:ascii="Arial"/>
          <w:b/>
          <w:sz w:val="20"/>
        </w:rPr>
        <w:t>Conduct</w:t>
      </w:r>
      <w:r>
        <w:rPr>
          <w:rFonts w:ascii="Arial"/>
          <w:b/>
          <w:spacing w:val="-3"/>
          <w:sz w:val="20"/>
        </w:rPr>
        <w:t xml:space="preserve"> </w:t>
      </w:r>
      <w:r>
        <w:rPr>
          <w:rFonts w:ascii="Arial"/>
          <w:b/>
          <w:sz w:val="20"/>
        </w:rPr>
        <w:t>of</w:t>
      </w:r>
      <w:r>
        <w:rPr>
          <w:rFonts w:ascii="Arial"/>
          <w:b/>
          <w:spacing w:val="-2"/>
          <w:sz w:val="20"/>
        </w:rPr>
        <w:t xml:space="preserve"> </w:t>
      </w:r>
      <w:r>
        <w:rPr>
          <w:rFonts w:ascii="Arial"/>
          <w:b/>
          <w:sz w:val="20"/>
        </w:rPr>
        <w:t>ICICI</w:t>
      </w:r>
      <w:r>
        <w:rPr>
          <w:rFonts w:ascii="Arial"/>
          <w:b/>
          <w:spacing w:val="-5"/>
          <w:sz w:val="20"/>
        </w:rPr>
        <w:t xml:space="preserve"> </w:t>
      </w:r>
      <w:r>
        <w:rPr>
          <w:rFonts w:ascii="Arial"/>
          <w:b/>
          <w:spacing w:val="-4"/>
          <w:sz w:val="20"/>
        </w:rPr>
        <w:t>Bank</w:t>
      </w:r>
    </w:p>
    <w:p w14:paraId="2B09A60A" w14:textId="77777777" w:rsidR="00393283" w:rsidRPr="00721BA4" w:rsidRDefault="00393283">
      <w:pPr>
        <w:pStyle w:val="BodyText"/>
        <w:spacing w:before="8"/>
        <w:rPr>
          <w:rFonts w:ascii="Arial"/>
          <w:b/>
          <w:sz w:val="24"/>
          <w:szCs w:val="24"/>
        </w:rPr>
      </w:pPr>
    </w:p>
    <w:p w14:paraId="2C33A693" w14:textId="77777777" w:rsidR="00393283" w:rsidRPr="00721BA4" w:rsidRDefault="00000000">
      <w:pPr>
        <w:spacing w:before="1"/>
        <w:ind w:left="139" w:right="134"/>
        <w:jc w:val="both"/>
        <w:rPr>
          <w:rFonts w:ascii="Arial" w:hAnsi="Arial"/>
          <w:i/>
          <w:sz w:val="24"/>
          <w:szCs w:val="24"/>
        </w:rPr>
      </w:pPr>
      <w:r w:rsidRPr="00721BA4">
        <w:rPr>
          <w:rFonts w:ascii="Arial" w:hAnsi="Arial"/>
          <w:i/>
          <w:sz w:val="24"/>
          <w:szCs w:val="24"/>
        </w:rPr>
        <w:t>“The Chairman/Managing</w:t>
      </w:r>
      <w:r w:rsidRPr="00721BA4">
        <w:rPr>
          <w:rFonts w:ascii="Arial" w:hAnsi="Arial"/>
          <w:i/>
          <w:spacing w:val="-1"/>
          <w:sz w:val="24"/>
          <w:szCs w:val="24"/>
        </w:rPr>
        <w:t xml:space="preserve"> </w:t>
      </w:r>
      <w:r w:rsidRPr="00721BA4">
        <w:rPr>
          <w:rFonts w:ascii="Arial" w:hAnsi="Arial"/>
          <w:i/>
          <w:sz w:val="24"/>
          <w:szCs w:val="24"/>
        </w:rPr>
        <w:t>Director/</w:t>
      </w:r>
      <w:r w:rsidRPr="00721BA4">
        <w:rPr>
          <w:rFonts w:ascii="Arial" w:hAnsi="Arial"/>
          <w:i/>
          <w:spacing w:val="-1"/>
          <w:sz w:val="24"/>
          <w:szCs w:val="24"/>
        </w:rPr>
        <w:t xml:space="preserve"> </w:t>
      </w:r>
      <w:r w:rsidRPr="00721BA4">
        <w:rPr>
          <w:rFonts w:ascii="Arial" w:hAnsi="Arial"/>
          <w:i/>
          <w:sz w:val="24"/>
          <w:szCs w:val="24"/>
        </w:rPr>
        <w:t>other directors or</w:t>
      </w:r>
      <w:r w:rsidRPr="00721BA4">
        <w:rPr>
          <w:rFonts w:ascii="Arial" w:hAnsi="Arial"/>
          <w:i/>
          <w:spacing w:val="-1"/>
          <w:sz w:val="24"/>
          <w:szCs w:val="24"/>
        </w:rPr>
        <w:t xml:space="preserve"> </w:t>
      </w:r>
      <w:r w:rsidRPr="00721BA4">
        <w:rPr>
          <w:rFonts w:ascii="Arial" w:hAnsi="Arial"/>
          <w:i/>
          <w:sz w:val="24"/>
          <w:szCs w:val="24"/>
        </w:rPr>
        <w:t>any employee who is directly or indirectly concerned or interested in any proposal would disclose the nature of his interest to the Board/Committee any such proposal is being discussed. This disclosure can be provided before or during the meeting. The Chairman/Managing Director/ other directors or any employee shall recuse himself/herself from attending the meeting for such proposal unless his/her presence is required by the other directors/members for the purpose</w:t>
      </w:r>
      <w:r w:rsidRPr="00721BA4">
        <w:rPr>
          <w:rFonts w:ascii="Arial" w:hAnsi="Arial"/>
          <w:i/>
          <w:spacing w:val="-1"/>
          <w:sz w:val="24"/>
          <w:szCs w:val="24"/>
        </w:rPr>
        <w:t xml:space="preserve"> </w:t>
      </w:r>
      <w:r w:rsidRPr="00721BA4">
        <w:rPr>
          <w:rFonts w:ascii="Arial" w:hAnsi="Arial"/>
          <w:i/>
          <w:sz w:val="24"/>
          <w:szCs w:val="24"/>
        </w:rPr>
        <w:t>of</w:t>
      </w:r>
      <w:r w:rsidRPr="00721BA4">
        <w:rPr>
          <w:rFonts w:ascii="Arial" w:hAnsi="Arial"/>
          <w:i/>
          <w:spacing w:val="-2"/>
          <w:sz w:val="24"/>
          <w:szCs w:val="24"/>
        </w:rPr>
        <w:t xml:space="preserve"> </w:t>
      </w:r>
      <w:r w:rsidRPr="00721BA4">
        <w:rPr>
          <w:rFonts w:ascii="Arial" w:hAnsi="Arial"/>
          <w:i/>
          <w:sz w:val="24"/>
          <w:szCs w:val="24"/>
        </w:rPr>
        <w:t>eliciting</w:t>
      </w:r>
      <w:r w:rsidRPr="00721BA4">
        <w:rPr>
          <w:rFonts w:ascii="Arial" w:hAnsi="Arial"/>
          <w:i/>
          <w:spacing w:val="-1"/>
          <w:sz w:val="24"/>
          <w:szCs w:val="24"/>
        </w:rPr>
        <w:t xml:space="preserve"> </w:t>
      </w:r>
      <w:r w:rsidRPr="00721BA4">
        <w:rPr>
          <w:rFonts w:ascii="Arial" w:hAnsi="Arial"/>
          <w:i/>
          <w:sz w:val="24"/>
          <w:szCs w:val="24"/>
        </w:rPr>
        <w:t>information</w:t>
      </w:r>
      <w:r w:rsidRPr="00721BA4">
        <w:rPr>
          <w:rFonts w:ascii="Arial" w:hAnsi="Arial"/>
          <w:i/>
          <w:spacing w:val="-1"/>
          <w:sz w:val="24"/>
          <w:szCs w:val="24"/>
        </w:rPr>
        <w:t xml:space="preserve"> </w:t>
      </w:r>
      <w:r w:rsidRPr="00721BA4">
        <w:rPr>
          <w:rFonts w:ascii="Arial" w:hAnsi="Arial"/>
          <w:i/>
          <w:sz w:val="24"/>
          <w:szCs w:val="24"/>
        </w:rPr>
        <w:t>and</w:t>
      </w:r>
      <w:r w:rsidRPr="00721BA4">
        <w:rPr>
          <w:rFonts w:ascii="Arial" w:hAnsi="Arial"/>
          <w:i/>
          <w:spacing w:val="-1"/>
          <w:sz w:val="24"/>
          <w:szCs w:val="24"/>
        </w:rPr>
        <w:t xml:space="preserve"> </w:t>
      </w:r>
      <w:r w:rsidRPr="00721BA4">
        <w:rPr>
          <w:rFonts w:ascii="Arial" w:hAnsi="Arial"/>
          <w:i/>
          <w:sz w:val="24"/>
          <w:szCs w:val="24"/>
        </w:rPr>
        <w:t>such</w:t>
      </w:r>
      <w:r w:rsidRPr="00721BA4">
        <w:rPr>
          <w:rFonts w:ascii="Arial" w:hAnsi="Arial"/>
          <w:i/>
          <w:spacing w:val="-3"/>
          <w:sz w:val="24"/>
          <w:szCs w:val="24"/>
        </w:rPr>
        <w:t xml:space="preserve"> </w:t>
      </w:r>
      <w:r w:rsidRPr="00721BA4">
        <w:rPr>
          <w:rFonts w:ascii="Arial" w:hAnsi="Arial"/>
          <w:i/>
          <w:sz w:val="24"/>
          <w:szCs w:val="24"/>
        </w:rPr>
        <w:t>Chairman/Managing</w:t>
      </w:r>
      <w:r w:rsidRPr="00721BA4">
        <w:rPr>
          <w:rFonts w:ascii="Arial" w:hAnsi="Arial"/>
          <w:i/>
          <w:spacing w:val="-1"/>
          <w:sz w:val="24"/>
          <w:szCs w:val="24"/>
        </w:rPr>
        <w:t xml:space="preserve"> </w:t>
      </w:r>
      <w:r w:rsidRPr="00721BA4">
        <w:rPr>
          <w:rFonts w:ascii="Arial" w:hAnsi="Arial"/>
          <w:i/>
          <w:sz w:val="24"/>
          <w:szCs w:val="24"/>
        </w:rPr>
        <w:t>Director/</w:t>
      </w:r>
      <w:r w:rsidRPr="00721BA4">
        <w:rPr>
          <w:rFonts w:ascii="Arial" w:hAnsi="Arial"/>
          <w:i/>
          <w:spacing w:val="-2"/>
          <w:sz w:val="24"/>
          <w:szCs w:val="24"/>
        </w:rPr>
        <w:t xml:space="preserve"> </w:t>
      </w:r>
      <w:r w:rsidRPr="00721BA4">
        <w:rPr>
          <w:rFonts w:ascii="Arial" w:hAnsi="Arial"/>
          <w:i/>
          <w:sz w:val="24"/>
          <w:szCs w:val="24"/>
        </w:rPr>
        <w:t>other</w:t>
      </w:r>
      <w:r w:rsidRPr="00721BA4">
        <w:rPr>
          <w:rFonts w:ascii="Arial" w:hAnsi="Arial"/>
          <w:i/>
          <w:spacing w:val="-1"/>
          <w:sz w:val="24"/>
          <w:szCs w:val="24"/>
        </w:rPr>
        <w:t xml:space="preserve"> </w:t>
      </w:r>
      <w:r w:rsidRPr="00721BA4">
        <w:rPr>
          <w:rFonts w:ascii="Arial" w:hAnsi="Arial"/>
          <w:i/>
          <w:sz w:val="24"/>
          <w:szCs w:val="24"/>
        </w:rPr>
        <w:t>directors</w:t>
      </w:r>
      <w:r w:rsidRPr="00721BA4">
        <w:rPr>
          <w:rFonts w:ascii="Arial" w:hAnsi="Arial"/>
          <w:i/>
          <w:spacing w:val="-1"/>
          <w:sz w:val="24"/>
          <w:szCs w:val="24"/>
        </w:rPr>
        <w:t xml:space="preserve"> </w:t>
      </w:r>
      <w:r w:rsidRPr="00721BA4">
        <w:rPr>
          <w:rFonts w:ascii="Arial" w:hAnsi="Arial"/>
          <w:i/>
          <w:sz w:val="24"/>
          <w:szCs w:val="24"/>
        </w:rPr>
        <w:t>or</w:t>
      </w:r>
      <w:r w:rsidRPr="00721BA4">
        <w:rPr>
          <w:rFonts w:ascii="Arial" w:hAnsi="Arial"/>
          <w:i/>
          <w:spacing w:val="-1"/>
          <w:sz w:val="24"/>
          <w:szCs w:val="24"/>
        </w:rPr>
        <w:t xml:space="preserve"> </w:t>
      </w:r>
      <w:r w:rsidRPr="00721BA4">
        <w:rPr>
          <w:rFonts w:ascii="Arial" w:hAnsi="Arial"/>
          <w:i/>
          <w:sz w:val="24"/>
          <w:szCs w:val="24"/>
        </w:rPr>
        <w:t>the</w:t>
      </w:r>
      <w:r w:rsidRPr="00721BA4">
        <w:rPr>
          <w:rFonts w:ascii="Arial" w:hAnsi="Arial"/>
          <w:i/>
          <w:spacing w:val="-1"/>
          <w:sz w:val="24"/>
          <w:szCs w:val="24"/>
        </w:rPr>
        <w:t xml:space="preserve"> </w:t>
      </w:r>
      <w:r w:rsidRPr="00721BA4">
        <w:rPr>
          <w:rFonts w:ascii="Arial" w:hAnsi="Arial"/>
          <w:i/>
          <w:sz w:val="24"/>
          <w:szCs w:val="24"/>
        </w:rPr>
        <w:t>employee</w:t>
      </w:r>
      <w:r w:rsidRPr="00721BA4">
        <w:rPr>
          <w:rFonts w:ascii="Arial" w:hAnsi="Arial"/>
          <w:i/>
          <w:spacing w:val="-1"/>
          <w:sz w:val="24"/>
          <w:szCs w:val="24"/>
        </w:rPr>
        <w:t xml:space="preserve"> </w:t>
      </w:r>
      <w:r w:rsidRPr="00721BA4">
        <w:rPr>
          <w:rFonts w:ascii="Arial" w:hAnsi="Arial"/>
          <w:i/>
          <w:sz w:val="24"/>
          <w:szCs w:val="24"/>
        </w:rPr>
        <w:t>so required to be present would abstain from voting on any such proposal. The decision on presence or recusal of interested persons will rest with the chairman/approving authority of the committee/meeting.”</w:t>
      </w:r>
    </w:p>
    <w:p w14:paraId="548A202E" w14:textId="77777777" w:rsidR="00393283" w:rsidRPr="00721BA4" w:rsidRDefault="00393283">
      <w:pPr>
        <w:pStyle w:val="BodyText"/>
        <w:spacing w:before="11"/>
        <w:rPr>
          <w:rFonts w:ascii="Arial"/>
          <w:i/>
          <w:sz w:val="24"/>
          <w:szCs w:val="24"/>
        </w:rPr>
      </w:pPr>
    </w:p>
    <w:p w14:paraId="52016930" w14:textId="77777777" w:rsidR="00393283" w:rsidRPr="00721BA4" w:rsidRDefault="00000000">
      <w:pPr>
        <w:ind w:left="139" w:right="135"/>
        <w:jc w:val="both"/>
        <w:rPr>
          <w:rFonts w:ascii="Arial" w:hAnsi="Arial"/>
          <w:i/>
          <w:sz w:val="24"/>
          <w:szCs w:val="24"/>
        </w:rPr>
      </w:pPr>
      <w:r w:rsidRPr="00721BA4">
        <w:rPr>
          <w:rFonts w:ascii="Arial" w:hAnsi="Arial"/>
          <w:i/>
          <w:sz w:val="24"/>
          <w:szCs w:val="24"/>
        </w:rPr>
        <w:t xml:space="preserve">“You must disclose to the Compliance Group of your Company </w:t>
      </w:r>
      <w:proofErr w:type="gramStart"/>
      <w:r w:rsidRPr="00721BA4">
        <w:rPr>
          <w:rFonts w:ascii="Arial" w:hAnsi="Arial"/>
          <w:i/>
          <w:sz w:val="24"/>
          <w:szCs w:val="24"/>
        </w:rPr>
        <w:t>annually,</w:t>
      </w:r>
      <w:proofErr w:type="gramEnd"/>
      <w:r w:rsidRPr="00721BA4">
        <w:rPr>
          <w:rFonts w:ascii="Arial" w:hAnsi="Arial"/>
          <w:i/>
          <w:sz w:val="24"/>
          <w:szCs w:val="24"/>
        </w:rPr>
        <w:t xml:space="preserve"> a statement that you have no material interest or any other conflicting interests, in any person/ entity who is a party to a material contract or proposed contract with the ICICI Group. In case of any doubt </w:t>
      </w:r>
      <w:proofErr w:type="gramStart"/>
      <w:r w:rsidRPr="00721BA4">
        <w:rPr>
          <w:rFonts w:ascii="Arial" w:hAnsi="Arial"/>
          <w:i/>
          <w:sz w:val="24"/>
          <w:szCs w:val="24"/>
        </w:rPr>
        <w:t>in regard to</w:t>
      </w:r>
      <w:proofErr w:type="gramEnd"/>
      <w:r w:rsidRPr="00721BA4">
        <w:rPr>
          <w:rFonts w:ascii="Arial" w:hAnsi="Arial"/>
          <w:i/>
          <w:sz w:val="24"/>
          <w:szCs w:val="24"/>
        </w:rPr>
        <w:t xml:space="preserve"> the extent of disclosure applicable, kindly contact the Compliance Group of your Company.”</w:t>
      </w:r>
    </w:p>
    <w:p w14:paraId="1B2D4688" w14:textId="77777777" w:rsidR="00393283" w:rsidRPr="00721BA4" w:rsidRDefault="00393283">
      <w:pPr>
        <w:pStyle w:val="BodyText"/>
        <w:spacing w:before="9"/>
        <w:rPr>
          <w:rFonts w:ascii="Arial"/>
          <w:i/>
          <w:sz w:val="24"/>
          <w:szCs w:val="24"/>
        </w:rPr>
      </w:pPr>
    </w:p>
    <w:p w14:paraId="32F79F0E" w14:textId="77777777" w:rsidR="00393283" w:rsidRPr="00721BA4" w:rsidRDefault="00000000">
      <w:pPr>
        <w:ind w:left="139"/>
        <w:jc w:val="both"/>
        <w:rPr>
          <w:rFonts w:ascii="Arial" w:hAnsi="Arial"/>
          <w:i/>
          <w:sz w:val="24"/>
          <w:szCs w:val="24"/>
        </w:rPr>
      </w:pPr>
      <w:r w:rsidRPr="00721BA4">
        <w:rPr>
          <w:rFonts w:ascii="Arial" w:hAnsi="Arial"/>
          <w:i/>
          <w:sz w:val="24"/>
          <w:szCs w:val="24"/>
        </w:rPr>
        <w:t>“Examples</w:t>
      </w:r>
      <w:r w:rsidRPr="00721BA4">
        <w:rPr>
          <w:rFonts w:ascii="Arial" w:hAnsi="Arial"/>
          <w:i/>
          <w:spacing w:val="-6"/>
          <w:sz w:val="24"/>
          <w:szCs w:val="24"/>
        </w:rPr>
        <w:t xml:space="preserve"> </w:t>
      </w:r>
      <w:r w:rsidRPr="00721BA4">
        <w:rPr>
          <w:rFonts w:ascii="Arial" w:hAnsi="Arial"/>
          <w:i/>
          <w:sz w:val="24"/>
          <w:szCs w:val="24"/>
        </w:rPr>
        <w:t>of</w:t>
      </w:r>
      <w:r w:rsidRPr="00721BA4">
        <w:rPr>
          <w:rFonts w:ascii="Arial" w:hAnsi="Arial"/>
          <w:i/>
          <w:spacing w:val="-4"/>
          <w:sz w:val="24"/>
          <w:szCs w:val="24"/>
        </w:rPr>
        <w:t xml:space="preserve"> </w:t>
      </w:r>
      <w:r w:rsidRPr="00721BA4">
        <w:rPr>
          <w:rFonts w:ascii="Arial" w:hAnsi="Arial"/>
          <w:i/>
          <w:sz w:val="24"/>
          <w:szCs w:val="24"/>
        </w:rPr>
        <w:t>situations</w:t>
      </w:r>
      <w:r w:rsidRPr="00721BA4">
        <w:rPr>
          <w:rFonts w:ascii="Arial" w:hAnsi="Arial"/>
          <w:i/>
          <w:spacing w:val="-4"/>
          <w:sz w:val="24"/>
          <w:szCs w:val="24"/>
        </w:rPr>
        <w:t xml:space="preserve"> </w:t>
      </w:r>
      <w:r w:rsidRPr="00721BA4">
        <w:rPr>
          <w:rFonts w:ascii="Arial" w:hAnsi="Arial"/>
          <w:i/>
          <w:sz w:val="24"/>
          <w:szCs w:val="24"/>
        </w:rPr>
        <w:t>that</w:t>
      </w:r>
      <w:r w:rsidRPr="00721BA4">
        <w:rPr>
          <w:rFonts w:ascii="Arial" w:hAnsi="Arial"/>
          <w:i/>
          <w:spacing w:val="-4"/>
          <w:sz w:val="24"/>
          <w:szCs w:val="24"/>
        </w:rPr>
        <w:t xml:space="preserve"> </w:t>
      </w:r>
      <w:r w:rsidRPr="00721BA4">
        <w:rPr>
          <w:rFonts w:ascii="Arial" w:hAnsi="Arial"/>
          <w:i/>
          <w:sz w:val="24"/>
          <w:szCs w:val="24"/>
        </w:rPr>
        <w:t>could</w:t>
      </w:r>
      <w:r w:rsidRPr="00721BA4">
        <w:rPr>
          <w:rFonts w:ascii="Arial" w:hAnsi="Arial"/>
          <w:i/>
          <w:spacing w:val="-5"/>
          <w:sz w:val="24"/>
          <w:szCs w:val="24"/>
        </w:rPr>
        <w:t xml:space="preserve"> </w:t>
      </w:r>
      <w:r w:rsidRPr="00721BA4">
        <w:rPr>
          <w:rFonts w:ascii="Arial" w:hAnsi="Arial"/>
          <w:i/>
          <w:sz w:val="24"/>
          <w:szCs w:val="24"/>
        </w:rPr>
        <w:t>involve</w:t>
      </w:r>
      <w:r w:rsidRPr="00721BA4">
        <w:rPr>
          <w:rFonts w:ascii="Arial" w:hAnsi="Arial"/>
          <w:i/>
          <w:spacing w:val="-4"/>
          <w:sz w:val="24"/>
          <w:szCs w:val="24"/>
        </w:rPr>
        <w:t xml:space="preserve"> </w:t>
      </w:r>
      <w:r w:rsidRPr="00721BA4">
        <w:rPr>
          <w:rFonts w:ascii="Arial" w:hAnsi="Arial"/>
          <w:i/>
          <w:sz w:val="24"/>
          <w:szCs w:val="24"/>
        </w:rPr>
        <w:t>conflicts</w:t>
      </w:r>
      <w:r w:rsidRPr="00721BA4">
        <w:rPr>
          <w:rFonts w:ascii="Arial" w:hAnsi="Arial"/>
          <w:i/>
          <w:spacing w:val="-4"/>
          <w:sz w:val="24"/>
          <w:szCs w:val="24"/>
        </w:rPr>
        <w:t xml:space="preserve"> </w:t>
      </w:r>
      <w:r w:rsidRPr="00721BA4">
        <w:rPr>
          <w:rFonts w:ascii="Arial" w:hAnsi="Arial"/>
          <w:i/>
          <w:sz w:val="24"/>
          <w:szCs w:val="24"/>
        </w:rPr>
        <w:t>of</w:t>
      </w:r>
      <w:r w:rsidRPr="00721BA4">
        <w:rPr>
          <w:rFonts w:ascii="Arial" w:hAnsi="Arial"/>
          <w:i/>
          <w:spacing w:val="-4"/>
          <w:sz w:val="24"/>
          <w:szCs w:val="24"/>
        </w:rPr>
        <w:t xml:space="preserve"> </w:t>
      </w:r>
      <w:r w:rsidRPr="00721BA4">
        <w:rPr>
          <w:rFonts w:ascii="Arial" w:hAnsi="Arial"/>
          <w:i/>
          <w:sz w:val="24"/>
          <w:szCs w:val="24"/>
        </w:rPr>
        <w:t>interest</w:t>
      </w:r>
      <w:r w:rsidRPr="00721BA4">
        <w:rPr>
          <w:rFonts w:ascii="Arial" w:hAnsi="Arial"/>
          <w:i/>
          <w:spacing w:val="-4"/>
          <w:sz w:val="24"/>
          <w:szCs w:val="24"/>
        </w:rPr>
        <w:t xml:space="preserve"> </w:t>
      </w:r>
      <w:r w:rsidRPr="00721BA4">
        <w:rPr>
          <w:rFonts w:ascii="Arial" w:hAnsi="Arial"/>
          <w:i/>
          <w:spacing w:val="-2"/>
          <w:sz w:val="24"/>
          <w:szCs w:val="24"/>
        </w:rPr>
        <w:t>include:”</w:t>
      </w:r>
    </w:p>
    <w:p w14:paraId="609DB925" w14:textId="77777777" w:rsidR="00393283" w:rsidRPr="00721BA4" w:rsidRDefault="00393283">
      <w:pPr>
        <w:pStyle w:val="BodyText"/>
        <w:spacing w:before="11"/>
        <w:rPr>
          <w:rFonts w:ascii="Arial"/>
          <w:i/>
          <w:sz w:val="24"/>
          <w:szCs w:val="24"/>
        </w:rPr>
      </w:pPr>
    </w:p>
    <w:p w14:paraId="1DD4B136" w14:textId="77777777" w:rsidR="00393283" w:rsidRPr="00721BA4" w:rsidRDefault="00000000">
      <w:pPr>
        <w:ind w:left="139" w:right="137"/>
        <w:jc w:val="both"/>
        <w:rPr>
          <w:rFonts w:ascii="Arial" w:hAnsi="Arial"/>
          <w:i/>
          <w:sz w:val="24"/>
          <w:szCs w:val="24"/>
        </w:rPr>
      </w:pPr>
      <w:r w:rsidRPr="00721BA4">
        <w:rPr>
          <w:rFonts w:ascii="Arial" w:hAnsi="Arial"/>
          <w:i/>
          <w:sz w:val="24"/>
          <w:szCs w:val="24"/>
        </w:rPr>
        <w:t xml:space="preserve">“Receiving a loan or guarantee of an obligation </w:t>
      </w:r>
      <w:proofErr w:type="gramStart"/>
      <w:r w:rsidRPr="00721BA4">
        <w:rPr>
          <w:rFonts w:ascii="Arial" w:hAnsi="Arial"/>
          <w:i/>
          <w:sz w:val="24"/>
          <w:szCs w:val="24"/>
        </w:rPr>
        <w:t>as a result of</w:t>
      </w:r>
      <w:proofErr w:type="gramEnd"/>
      <w:r w:rsidRPr="00721BA4">
        <w:rPr>
          <w:rFonts w:ascii="Arial" w:hAnsi="Arial"/>
          <w:i/>
          <w:sz w:val="24"/>
          <w:szCs w:val="24"/>
        </w:rPr>
        <w:t xml:space="preserve"> your position with the Bank. Receiving a preferential rate of interest/ discounts/ waivers from any customers/suppliers/vendors </w:t>
      </w:r>
      <w:proofErr w:type="gramStart"/>
      <w:r w:rsidRPr="00721BA4">
        <w:rPr>
          <w:rFonts w:ascii="Arial" w:hAnsi="Arial"/>
          <w:i/>
          <w:sz w:val="24"/>
          <w:szCs w:val="24"/>
        </w:rPr>
        <w:t>as a result of</w:t>
      </w:r>
      <w:proofErr w:type="gramEnd"/>
      <w:r w:rsidRPr="00721BA4">
        <w:rPr>
          <w:rFonts w:ascii="Arial" w:hAnsi="Arial"/>
          <w:i/>
          <w:sz w:val="24"/>
          <w:szCs w:val="24"/>
        </w:rPr>
        <w:t xml:space="preserve"> your position with the Bank.”</w:t>
      </w:r>
    </w:p>
    <w:p w14:paraId="039F2642" w14:textId="77777777" w:rsidR="00393283" w:rsidRPr="00721BA4" w:rsidRDefault="00393283">
      <w:pPr>
        <w:pStyle w:val="BodyText"/>
        <w:spacing w:before="8"/>
        <w:rPr>
          <w:rFonts w:ascii="Arial"/>
          <w:i/>
          <w:sz w:val="24"/>
          <w:szCs w:val="24"/>
        </w:rPr>
      </w:pPr>
    </w:p>
    <w:p w14:paraId="7E6C5D0D" w14:textId="77777777" w:rsidR="00393283" w:rsidRDefault="00393283">
      <w:pPr>
        <w:jc w:val="both"/>
        <w:rPr>
          <w:rFonts w:ascii="Arial"/>
          <w:sz w:val="18"/>
        </w:rPr>
        <w:sectPr w:rsidR="00393283">
          <w:pgSz w:w="12240" w:h="15840"/>
          <w:pgMar w:top="1240" w:right="1300" w:bottom="700" w:left="1300" w:header="916" w:footer="501" w:gutter="0"/>
          <w:cols w:space="720"/>
        </w:sectPr>
      </w:pPr>
    </w:p>
    <w:p w14:paraId="1E3AAA65" w14:textId="52DC729F" w:rsidR="00393283" w:rsidRPr="00721BA4" w:rsidRDefault="00000000" w:rsidP="00721BA4">
      <w:pPr>
        <w:spacing w:before="193" w:line="360" w:lineRule="auto"/>
        <w:ind w:left="140" w:right="1545" w:firstLine="1695"/>
        <w:rPr>
          <w:rFonts w:ascii="Arial"/>
          <w:b/>
          <w:szCs w:val="24"/>
        </w:rPr>
      </w:pPr>
      <w:bookmarkStart w:id="11" w:name="Exhibit_2:_Chronology_of_Events_Relating"/>
      <w:bookmarkEnd w:id="11"/>
      <w:r w:rsidRPr="00721BA4">
        <w:rPr>
          <w:rFonts w:ascii="Arial"/>
          <w:b/>
          <w:szCs w:val="24"/>
        </w:rPr>
        <w:lastRenderedPageBreak/>
        <w:t>Exhibit</w:t>
      </w:r>
      <w:r w:rsidRPr="00721BA4">
        <w:rPr>
          <w:rFonts w:ascii="Arial"/>
          <w:b/>
          <w:spacing w:val="-4"/>
          <w:szCs w:val="24"/>
        </w:rPr>
        <w:t xml:space="preserve"> </w:t>
      </w:r>
      <w:r w:rsidRPr="00721BA4">
        <w:rPr>
          <w:rFonts w:ascii="Arial"/>
          <w:b/>
          <w:szCs w:val="24"/>
        </w:rPr>
        <w:t>2:</w:t>
      </w:r>
      <w:r w:rsidRPr="00721BA4">
        <w:rPr>
          <w:rFonts w:ascii="Arial"/>
          <w:b/>
          <w:spacing w:val="-4"/>
          <w:szCs w:val="24"/>
        </w:rPr>
        <w:t xml:space="preserve"> </w:t>
      </w:r>
      <w:r w:rsidRPr="00721BA4">
        <w:rPr>
          <w:rFonts w:ascii="Arial"/>
          <w:b/>
          <w:szCs w:val="24"/>
        </w:rPr>
        <w:t>Chronology</w:t>
      </w:r>
      <w:r w:rsidRPr="00721BA4">
        <w:rPr>
          <w:rFonts w:ascii="Arial"/>
          <w:b/>
          <w:spacing w:val="-5"/>
          <w:szCs w:val="24"/>
        </w:rPr>
        <w:t xml:space="preserve"> </w:t>
      </w:r>
      <w:r w:rsidRPr="00721BA4">
        <w:rPr>
          <w:rFonts w:ascii="Arial"/>
          <w:b/>
          <w:szCs w:val="24"/>
        </w:rPr>
        <w:t>of</w:t>
      </w:r>
      <w:r w:rsidRPr="00721BA4">
        <w:rPr>
          <w:rFonts w:ascii="Arial"/>
          <w:b/>
          <w:spacing w:val="-4"/>
          <w:szCs w:val="24"/>
        </w:rPr>
        <w:t xml:space="preserve"> </w:t>
      </w:r>
      <w:r w:rsidRPr="00721BA4">
        <w:rPr>
          <w:rFonts w:ascii="Arial"/>
          <w:b/>
          <w:szCs w:val="24"/>
        </w:rPr>
        <w:t>Events</w:t>
      </w:r>
      <w:r w:rsidRPr="00721BA4">
        <w:rPr>
          <w:rFonts w:ascii="Arial"/>
          <w:b/>
          <w:spacing w:val="-6"/>
          <w:szCs w:val="24"/>
        </w:rPr>
        <w:t xml:space="preserve"> </w:t>
      </w:r>
      <w:r w:rsidRPr="00721BA4">
        <w:rPr>
          <w:rFonts w:ascii="Arial"/>
          <w:b/>
          <w:szCs w:val="24"/>
        </w:rPr>
        <w:t>Relating</w:t>
      </w:r>
      <w:r w:rsidRPr="00721BA4">
        <w:rPr>
          <w:rFonts w:ascii="Arial"/>
          <w:b/>
          <w:spacing w:val="-5"/>
          <w:szCs w:val="24"/>
        </w:rPr>
        <w:t xml:space="preserve"> </w:t>
      </w:r>
      <w:r w:rsidRPr="00721BA4">
        <w:rPr>
          <w:rFonts w:ascii="Arial"/>
          <w:b/>
          <w:szCs w:val="24"/>
        </w:rPr>
        <w:t>to</w:t>
      </w:r>
      <w:r w:rsidRPr="00721BA4">
        <w:rPr>
          <w:rFonts w:ascii="Arial"/>
          <w:b/>
          <w:spacing w:val="-5"/>
          <w:szCs w:val="24"/>
        </w:rPr>
        <w:t xml:space="preserve"> </w:t>
      </w:r>
      <w:r w:rsidRPr="00721BA4">
        <w:rPr>
          <w:rFonts w:ascii="Arial"/>
          <w:b/>
          <w:szCs w:val="24"/>
        </w:rPr>
        <w:t>the</w:t>
      </w:r>
      <w:r w:rsidRPr="00721BA4">
        <w:rPr>
          <w:rFonts w:ascii="Arial"/>
          <w:b/>
          <w:spacing w:val="-5"/>
          <w:szCs w:val="24"/>
        </w:rPr>
        <w:t xml:space="preserve"> </w:t>
      </w:r>
      <w:r w:rsidRPr="00721BA4">
        <w:rPr>
          <w:rFonts w:ascii="Arial"/>
          <w:b/>
          <w:szCs w:val="24"/>
        </w:rPr>
        <w:t>Videocon</w:t>
      </w:r>
      <w:r w:rsidRPr="00721BA4">
        <w:rPr>
          <w:rFonts w:ascii="Arial"/>
          <w:b/>
          <w:spacing w:val="-5"/>
          <w:szCs w:val="24"/>
        </w:rPr>
        <w:t xml:space="preserve"> </w:t>
      </w:r>
      <w:r w:rsidRPr="00721BA4">
        <w:rPr>
          <w:rFonts w:ascii="Arial"/>
          <w:b/>
          <w:szCs w:val="24"/>
        </w:rPr>
        <w:t xml:space="preserve">Loan </w:t>
      </w:r>
      <w:bookmarkStart w:id="12" w:name="The_Loan_and_Related_Transactions_(2009-"/>
      <w:bookmarkEnd w:id="12"/>
      <w:proofErr w:type="gramStart"/>
      <w:r w:rsidRPr="00721BA4">
        <w:rPr>
          <w:rFonts w:ascii="Arial"/>
          <w:b/>
          <w:szCs w:val="24"/>
        </w:rPr>
        <w:t>The</w:t>
      </w:r>
      <w:proofErr w:type="gramEnd"/>
      <w:r w:rsidRPr="00721BA4">
        <w:rPr>
          <w:rFonts w:ascii="Arial"/>
          <w:b/>
          <w:szCs w:val="24"/>
        </w:rPr>
        <w:t xml:space="preserve"> Loan and Related Transactions (2009-2012)</w:t>
      </w:r>
    </w:p>
    <w:p w14:paraId="4BA7A31B" w14:textId="77777777" w:rsidR="00393283" w:rsidRPr="00721BA4" w:rsidRDefault="00000000" w:rsidP="00721BA4">
      <w:pPr>
        <w:spacing w:line="360" w:lineRule="auto"/>
        <w:ind w:left="140" w:right="135"/>
        <w:jc w:val="both"/>
        <w:rPr>
          <w:rFonts w:ascii="Arial"/>
          <w:szCs w:val="24"/>
        </w:rPr>
      </w:pPr>
      <w:r w:rsidRPr="00721BA4">
        <w:rPr>
          <w:rFonts w:ascii="Arial"/>
          <w:szCs w:val="24"/>
        </w:rPr>
        <w:t>The following chronology of events is taken from the criminal complaint filed by the Central Bureau of Investigation in January 2019 (This complaint is elaborated towards the end of this Exhibit). Kochhar became MD &amp; CEO of the Bank on May 1, 2009. The Bank granted a loan of INR 3 billion to the</w:t>
      </w:r>
      <w:r w:rsidRPr="00721BA4">
        <w:rPr>
          <w:rFonts w:ascii="Arial"/>
          <w:spacing w:val="80"/>
          <w:szCs w:val="24"/>
        </w:rPr>
        <w:t xml:space="preserve"> </w:t>
      </w:r>
      <w:r w:rsidRPr="00721BA4">
        <w:rPr>
          <w:rFonts w:ascii="Arial"/>
          <w:szCs w:val="24"/>
        </w:rPr>
        <w:t xml:space="preserve">Videocon group on August 26, 2009, and the loan was disbursed on September 7, 2009. The very next day, the promoters of the Videocon group invested an amount of INR 640 million in </w:t>
      </w:r>
      <w:proofErr w:type="spellStart"/>
      <w:r w:rsidRPr="00721BA4">
        <w:rPr>
          <w:rFonts w:ascii="Arial"/>
          <w:szCs w:val="24"/>
        </w:rPr>
        <w:t>NuPower</w:t>
      </w:r>
      <w:proofErr w:type="spellEnd"/>
      <w:r w:rsidRPr="00721BA4">
        <w:rPr>
          <w:rFonts w:ascii="Arial"/>
          <w:spacing w:val="80"/>
          <w:szCs w:val="24"/>
        </w:rPr>
        <w:t xml:space="preserve"> </w:t>
      </w:r>
      <w:r w:rsidRPr="00721BA4">
        <w:rPr>
          <w:rFonts w:ascii="Arial"/>
          <w:szCs w:val="24"/>
        </w:rPr>
        <w:t>Renewables</w:t>
      </w:r>
      <w:r w:rsidRPr="00721BA4">
        <w:rPr>
          <w:rFonts w:ascii="Arial"/>
          <w:spacing w:val="-1"/>
          <w:szCs w:val="24"/>
        </w:rPr>
        <w:t xml:space="preserve"> </w:t>
      </w:r>
      <w:r w:rsidRPr="00721BA4">
        <w:rPr>
          <w:rFonts w:ascii="Arial"/>
          <w:szCs w:val="24"/>
        </w:rPr>
        <w:t>(NRL),</w:t>
      </w:r>
      <w:r w:rsidRPr="00721BA4">
        <w:rPr>
          <w:rFonts w:ascii="Arial"/>
          <w:spacing w:val="-2"/>
          <w:szCs w:val="24"/>
        </w:rPr>
        <w:t xml:space="preserve"> </w:t>
      </w:r>
      <w:r w:rsidRPr="00721BA4">
        <w:rPr>
          <w:rFonts w:ascii="Arial"/>
          <w:szCs w:val="24"/>
        </w:rPr>
        <w:t>a</w:t>
      </w:r>
      <w:r w:rsidRPr="00721BA4">
        <w:rPr>
          <w:rFonts w:ascii="Arial"/>
          <w:spacing w:val="-3"/>
          <w:szCs w:val="24"/>
        </w:rPr>
        <w:t xml:space="preserve"> </w:t>
      </w:r>
      <w:r w:rsidRPr="00721BA4">
        <w:rPr>
          <w:rFonts w:ascii="Arial"/>
          <w:szCs w:val="24"/>
        </w:rPr>
        <w:t>company</w:t>
      </w:r>
      <w:r w:rsidRPr="00721BA4">
        <w:rPr>
          <w:rFonts w:ascii="Arial"/>
          <w:spacing w:val="-1"/>
          <w:szCs w:val="24"/>
        </w:rPr>
        <w:t xml:space="preserve"> </w:t>
      </w:r>
      <w:r w:rsidRPr="00721BA4">
        <w:rPr>
          <w:rFonts w:ascii="Arial"/>
          <w:szCs w:val="24"/>
        </w:rPr>
        <w:t>managed</w:t>
      </w:r>
      <w:r w:rsidRPr="00721BA4">
        <w:rPr>
          <w:rFonts w:ascii="Arial"/>
          <w:spacing w:val="-1"/>
          <w:szCs w:val="24"/>
        </w:rPr>
        <w:t xml:space="preserve"> </w:t>
      </w:r>
      <w:r w:rsidRPr="00721BA4">
        <w:rPr>
          <w:rFonts w:ascii="Arial"/>
          <w:szCs w:val="24"/>
        </w:rPr>
        <w:t>by</w:t>
      </w:r>
      <w:r w:rsidRPr="00721BA4">
        <w:rPr>
          <w:rFonts w:ascii="Arial"/>
          <w:spacing w:val="-2"/>
          <w:szCs w:val="24"/>
        </w:rPr>
        <w:t xml:space="preserve"> </w:t>
      </w:r>
      <w:r w:rsidRPr="00721BA4">
        <w:rPr>
          <w:rFonts w:ascii="Arial"/>
          <w:szCs w:val="24"/>
        </w:rPr>
        <w:t>Mr.</w:t>
      </w:r>
      <w:r w:rsidRPr="00721BA4">
        <w:rPr>
          <w:rFonts w:ascii="Arial"/>
          <w:spacing w:val="-2"/>
          <w:szCs w:val="24"/>
        </w:rPr>
        <w:t xml:space="preserve"> </w:t>
      </w:r>
      <w:r w:rsidRPr="00721BA4">
        <w:rPr>
          <w:rFonts w:ascii="Arial"/>
          <w:szCs w:val="24"/>
        </w:rPr>
        <w:t>Deepak</w:t>
      </w:r>
      <w:r w:rsidRPr="00721BA4">
        <w:rPr>
          <w:rFonts w:ascii="Arial"/>
          <w:spacing w:val="-1"/>
          <w:szCs w:val="24"/>
        </w:rPr>
        <w:t xml:space="preserve"> </w:t>
      </w:r>
      <w:r w:rsidRPr="00721BA4">
        <w:rPr>
          <w:rFonts w:ascii="Arial"/>
          <w:szCs w:val="24"/>
        </w:rPr>
        <w:t>Kochhar,</w:t>
      </w:r>
      <w:r w:rsidRPr="00721BA4">
        <w:rPr>
          <w:rFonts w:ascii="Arial"/>
          <w:spacing w:val="-2"/>
          <w:szCs w:val="24"/>
        </w:rPr>
        <w:t xml:space="preserve"> </w:t>
      </w:r>
      <w:r w:rsidRPr="00721BA4">
        <w:rPr>
          <w:rFonts w:ascii="Arial"/>
          <w:szCs w:val="24"/>
        </w:rPr>
        <w:t>husband</w:t>
      </w:r>
      <w:r w:rsidRPr="00721BA4">
        <w:rPr>
          <w:rFonts w:ascii="Arial"/>
          <w:spacing w:val="-1"/>
          <w:szCs w:val="24"/>
        </w:rPr>
        <w:t xml:space="preserve"> </w:t>
      </w:r>
      <w:r w:rsidRPr="00721BA4">
        <w:rPr>
          <w:rFonts w:ascii="Arial"/>
          <w:szCs w:val="24"/>
        </w:rPr>
        <w:t>of</w:t>
      </w:r>
      <w:r w:rsidRPr="00721BA4">
        <w:rPr>
          <w:rFonts w:ascii="Arial"/>
          <w:spacing w:val="-3"/>
          <w:szCs w:val="24"/>
        </w:rPr>
        <w:t xml:space="preserve"> </w:t>
      </w:r>
      <w:r w:rsidRPr="00721BA4">
        <w:rPr>
          <w:rFonts w:ascii="Arial"/>
          <w:szCs w:val="24"/>
        </w:rPr>
        <w:t>Ms.</w:t>
      </w:r>
      <w:r w:rsidRPr="00721BA4">
        <w:rPr>
          <w:rFonts w:ascii="Arial"/>
          <w:spacing w:val="-2"/>
          <w:szCs w:val="24"/>
        </w:rPr>
        <w:t xml:space="preserve"> </w:t>
      </w:r>
      <w:r w:rsidRPr="00721BA4">
        <w:rPr>
          <w:rFonts w:ascii="Arial"/>
          <w:szCs w:val="24"/>
        </w:rPr>
        <w:t>Chanda</w:t>
      </w:r>
      <w:r w:rsidRPr="00721BA4">
        <w:rPr>
          <w:rFonts w:ascii="Arial"/>
          <w:spacing w:val="-3"/>
          <w:szCs w:val="24"/>
        </w:rPr>
        <w:t xml:space="preserve"> </w:t>
      </w:r>
      <w:r w:rsidRPr="00721BA4">
        <w:rPr>
          <w:rFonts w:ascii="Arial"/>
          <w:szCs w:val="24"/>
        </w:rPr>
        <w:t>Kochhar.</w:t>
      </w:r>
      <w:r w:rsidRPr="00721BA4">
        <w:rPr>
          <w:rFonts w:ascii="Arial"/>
          <w:spacing w:val="-2"/>
          <w:szCs w:val="24"/>
        </w:rPr>
        <w:t xml:space="preserve"> </w:t>
      </w:r>
      <w:r w:rsidRPr="00721BA4">
        <w:rPr>
          <w:rFonts w:ascii="Arial"/>
          <w:szCs w:val="24"/>
        </w:rPr>
        <w:t>This was the first major capital received by NRL to acquire its first power plant. The investment in NRL was made through Supreme Energy Pvt. Ltd. (SEPL). Subsequently, SEPL was transferred to Deepak Kochhar through a circuitous route between 2010 and 2012.</w:t>
      </w:r>
    </w:p>
    <w:p w14:paraId="79292868" w14:textId="77777777" w:rsidR="00393283" w:rsidRPr="00721BA4" w:rsidRDefault="00393283" w:rsidP="00721BA4">
      <w:pPr>
        <w:pStyle w:val="BodyText"/>
        <w:spacing w:before="6" w:line="360" w:lineRule="auto"/>
        <w:rPr>
          <w:rFonts w:ascii="Arial"/>
          <w:szCs w:val="24"/>
        </w:rPr>
      </w:pPr>
    </w:p>
    <w:p w14:paraId="3B0029AC" w14:textId="77777777" w:rsidR="00393283" w:rsidRPr="00721BA4" w:rsidRDefault="00000000" w:rsidP="00721BA4">
      <w:pPr>
        <w:spacing w:before="1" w:line="360" w:lineRule="auto"/>
        <w:ind w:left="140"/>
        <w:jc w:val="both"/>
        <w:rPr>
          <w:rFonts w:ascii="Arial"/>
          <w:b/>
          <w:szCs w:val="24"/>
        </w:rPr>
      </w:pPr>
      <w:bookmarkStart w:id="13" w:name="The_Whistleblower_Allegations_(March_201"/>
      <w:bookmarkEnd w:id="13"/>
      <w:r w:rsidRPr="00721BA4">
        <w:rPr>
          <w:rFonts w:ascii="Arial"/>
          <w:b/>
          <w:szCs w:val="24"/>
        </w:rPr>
        <w:t>The</w:t>
      </w:r>
      <w:r w:rsidRPr="00721BA4">
        <w:rPr>
          <w:rFonts w:ascii="Arial"/>
          <w:b/>
          <w:spacing w:val="-6"/>
          <w:szCs w:val="24"/>
        </w:rPr>
        <w:t xml:space="preserve"> </w:t>
      </w:r>
      <w:r w:rsidRPr="00721BA4">
        <w:rPr>
          <w:rFonts w:ascii="Arial"/>
          <w:b/>
          <w:szCs w:val="24"/>
        </w:rPr>
        <w:t>Whistleblower</w:t>
      </w:r>
      <w:r w:rsidRPr="00721BA4">
        <w:rPr>
          <w:rFonts w:ascii="Arial"/>
          <w:b/>
          <w:spacing w:val="-5"/>
          <w:szCs w:val="24"/>
        </w:rPr>
        <w:t xml:space="preserve"> </w:t>
      </w:r>
      <w:r w:rsidRPr="00721BA4">
        <w:rPr>
          <w:rFonts w:ascii="Arial"/>
          <w:b/>
          <w:szCs w:val="24"/>
        </w:rPr>
        <w:t>Allegations</w:t>
      </w:r>
      <w:r w:rsidRPr="00721BA4">
        <w:rPr>
          <w:rFonts w:ascii="Arial"/>
          <w:b/>
          <w:spacing w:val="-6"/>
          <w:szCs w:val="24"/>
        </w:rPr>
        <w:t xml:space="preserve"> </w:t>
      </w:r>
      <w:r w:rsidRPr="00721BA4">
        <w:rPr>
          <w:rFonts w:ascii="Arial"/>
          <w:b/>
          <w:szCs w:val="24"/>
        </w:rPr>
        <w:t>(March</w:t>
      </w:r>
      <w:r w:rsidRPr="00721BA4">
        <w:rPr>
          <w:rFonts w:ascii="Arial"/>
          <w:b/>
          <w:spacing w:val="-5"/>
          <w:szCs w:val="24"/>
        </w:rPr>
        <w:t xml:space="preserve"> </w:t>
      </w:r>
      <w:r w:rsidRPr="00721BA4">
        <w:rPr>
          <w:rFonts w:ascii="Arial"/>
          <w:b/>
          <w:spacing w:val="-2"/>
          <w:szCs w:val="24"/>
        </w:rPr>
        <w:t>2016)</w:t>
      </w:r>
    </w:p>
    <w:p w14:paraId="104B8A1F" w14:textId="77777777" w:rsidR="00393283" w:rsidRPr="00721BA4" w:rsidRDefault="00393283" w:rsidP="00721BA4">
      <w:pPr>
        <w:pStyle w:val="BodyText"/>
        <w:spacing w:before="9" w:line="360" w:lineRule="auto"/>
        <w:rPr>
          <w:rFonts w:ascii="Arial"/>
          <w:b/>
          <w:szCs w:val="24"/>
        </w:rPr>
      </w:pPr>
    </w:p>
    <w:p w14:paraId="3CFE8A8C" w14:textId="77777777" w:rsidR="00393283" w:rsidRPr="00721BA4" w:rsidRDefault="00000000" w:rsidP="00721BA4">
      <w:pPr>
        <w:spacing w:line="360" w:lineRule="auto"/>
        <w:ind w:left="139" w:right="135"/>
        <w:jc w:val="both"/>
        <w:rPr>
          <w:rFonts w:ascii="Arial" w:hAnsi="Arial"/>
          <w:szCs w:val="24"/>
        </w:rPr>
      </w:pPr>
      <w:r w:rsidRPr="00721BA4">
        <w:rPr>
          <w:rFonts w:ascii="Arial" w:hAnsi="Arial"/>
          <w:szCs w:val="24"/>
        </w:rPr>
        <w:t>On March 15, 2016, Dr. Arvind Gupta, a shareholder, and a founder trustee of the organization Indian Investor Protection Council</w:t>
      </w:r>
      <w:hyperlink w:anchor="_bookmark16" w:history="1">
        <w:r w:rsidRPr="00721BA4">
          <w:rPr>
            <w:rFonts w:ascii="Arial" w:hAnsi="Arial"/>
            <w:szCs w:val="24"/>
            <w:vertAlign w:val="superscript"/>
          </w:rPr>
          <w:t>18</w:t>
        </w:r>
      </w:hyperlink>
      <w:r w:rsidRPr="00721BA4">
        <w:rPr>
          <w:rFonts w:ascii="Arial" w:hAnsi="Arial"/>
          <w:szCs w:val="24"/>
        </w:rPr>
        <w:t>, wrote a letter</w:t>
      </w:r>
      <w:hyperlink w:anchor="_bookmark17" w:history="1">
        <w:r w:rsidRPr="00721BA4">
          <w:rPr>
            <w:rFonts w:ascii="Arial" w:hAnsi="Arial"/>
            <w:szCs w:val="24"/>
            <w:vertAlign w:val="superscript"/>
          </w:rPr>
          <w:t>19</w:t>
        </w:r>
      </w:hyperlink>
      <w:r w:rsidRPr="00721BA4">
        <w:rPr>
          <w:rFonts w:ascii="Arial" w:hAnsi="Arial"/>
          <w:szCs w:val="24"/>
        </w:rPr>
        <w:t xml:space="preserve"> to the Prime Minister of India about "the illicit banking and commercial relationship between Videocon Group of Venugopal Dhoot and ICICI Bank's MD &amp; CEO Chanda Kochhar's family". The letter to the Prime Minister was copied to the Finance Minister, Securities Exchange Board of India, Reserve Bank of India (RBI), the board of ICICI Bank, and several others. An internal investigation by the Bank, carried out at the behest of RBI, concluded that the allegations were baseless. The Bank’s whistleblower policy stated that even complaints made anonymously would be ‘appropriately and independently investigated’. The policy was silent on whether the Bank would correspond with the whistleblower. The Board chose not to communicate with Gupta who eventually reproduced the letter on his blog. Almost two years later the matter was revived in social media in early </w:t>
      </w:r>
      <w:r w:rsidRPr="00721BA4">
        <w:rPr>
          <w:rFonts w:ascii="Arial" w:hAnsi="Arial"/>
          <w:spacing w:val="-2"/>
          <w:szCs w:val="24"/>
        </w:rPr>
        <w:t>2018.</w:t>
      </w:r>
    </w:p>
    <w:p w14:paraId="0C15FB0C" w14:textId="77777777" w:rsidR="00393283" w:rsidRPr="00721BA4" w:rsidRDefault="00393283" w:rsidP="00721BA4">
      <w:pPr>
        <w:pStyle w:val="BodyText"/>
        <w:spacing w:before="11" w:line="360" w:lineRule="auto"/>
        <w:rPr>
          <w:rFonts w:ascii="Arial"/>
          <w:szCs w:val="24"/>
        </w:rPr>
      </w:pPr>
    </w:p>
    <w:p w14:paraId="424CBB33" w14:textId="77777777" w:rsidR="00393283" w:rsidRPr="00721BA4" w:rsidRDefault="00000000" w:rsidP="00721BA4">
      <w:pPr>
        <w:spacing w:line="360" w:lineRule="auto"/>
        <w:ind w:left="139" w:right="136"/>
        <w:jc w:val="both"/>
        <w:rPr>
          <w:rFonts w:ascii="Arial"/>
          <w:szCs w:val="24"/>
        </w:rPr>
      </w:pPr>
      <w:r w:rsidRPr="00721BA4">
        <w:rPr>
          <w:rFonts w:ascii="Arial"/>
          <w:szCs w:val="24"/>
        </w:rPr>
        <w:t>In a televised</w:t>
      </w:r>
      <w:r w:rsidRPr="00721BA4">
        <w:rPr>
          <w:rFonts w:ascii="Arial"/>
          <w:spacing w:val="-1"/>
          <w:szCs w:val="24"/>
        </w:rPr>
        <w:t xml:space="preserve"> </w:t>
      </w:r>
      <w:r w:rsidRPr="00721BA4">
        <w:rPr>
          <w:rFonts w:ascii="Arial"/>
          <w:szCs w:val="24"/>
        </w:rPr>
        <w:t xml:space="preserve">interview on </w:t>
      </w:r>
      <w:proofErr w:type="spellStart"/>
      <w:r w:rsidRPr="00721BA4">
        <w:rPr>
          <w:rFonts w:ascii="Arial"/>
          <w:szCs w:val="24"/>
        </w:rPr>
        <w:t>BloombergQuint</w:t>
      </w:r>
      <w:proofErr w:type="spellEnd"/>
      <w:r w:rsidRPr="00721BA4">
        <w:rPr>
          <w:rFonts w:ascii="Arial"/>
          <w:szCs w:val="24"/>
        </w:rPr>
        <w:t>, streamed on March 30, 2018,</w:t>
      </w:r>
      <w:hyperlink w:anchor="_bookmark18" w:history="1">
        <w:r w:rsidRPr="00721BA4">
          <w:rPr>
            <w:rFonts w:ascii="Arial"/>
            <w:szCs w:val="24"/>
            <w:vertAlign w:val="superscript"/>
          </w:rPr>
          <w:t>20</w:t>
        </w:r>
      </w:hyperlink>
      <w:r w:rsidRPr="00721BA4">
        <w:rPr>
          <w:rFonts w:ascii="Arial"/>
          <w:szCs w:val="24"/>
        </w:rPr>
        <w:t xml:space="preserve"> Gupta said that the issues he had raised were based on publicly available information. The trigger for his investigations was the declining fortunes of the Videocon group. Gupta lamented the shoddy treatment meted out to whistleblowers not just by the concerned companies but by the larger system comprising the regulators and the government. He said that he deserved a response to his complaint.</w:t>
      </w:r>
    </w:p>
    <w:p w14:paraId="14B66414" w14:textId="77777777" w:rsidR="00393283" w:rsidRPr="00721BA4" w:rsidRDefault="00393283" w:rsidP="00721BA4">
      <w:pPr>
        <w:pStyle w:val="BodyText"/>
        <w:spacing w:before="9" w:line="360" w:lineRule="auto"/>
        <w:rPr>
          <w:rFonts w:ascii="Arial"/>
          <w:szCs w:val="24"/>
        </w:rPr>
      </w:pPr>
    </w:p>
    <w:p w14:paraId="342A10DC" w14:textId="77777777" w:rsidR="00393283" w:rsidRPr="00721BA4" w:rsidRDefault="00000000" w:rsidP="00721BA4">
      <w:pPr>
        <w:spacing w:line="360" w:lineRule="auto"/>
        <w:ind w:left="140"/>
        <w:jc w:val="both"/>
        <w:rPr>
          <w:rFonts w:ascii="Arial"/>
          <w:b/>
          <w:szCs w:val="24"/>
        </w:rPr>
      </w:pPr>
      <w:bookmarkStart w:id="14" w:name="Videocon_Delinquency_(2017)_"/>
      <w:bookmarkEnd w:id="14"/>
      <w:r w:rsidRPr="00721BA4">
        <w:rPr>
          <w:rFonts w:ascii="Arial"/>
          <w:b/>
          <w:szCs w:val="24"/>
        </w:rPr>
        <w:t>Videocon</w:t>
      </w:r>
      <w:r w:rsidRPr="00721BA4">
        <w:rPr>
          <w:rFonts w:ascii="Arial"/>
          <w:b/>
          <w:spacing w:val="-8"/>
          <w:szCs w:val="24"/>
        </w:rPr>
        <w:t xml:space="preserve"> </w:t>
      </w:r>
      <w:r w:rsidRPr="00721BA4">
        <w:rPr>
          <w:rFonts w:ascii="Arial"/>
          <w:b/>
          <w:szCs w:val="24"/>
        </w:rPr>
        <w:t>Delinquency</w:t>
      </w:r>
      <w:r w:rsidRPr="00721BA4">
        <w:rPr>
          <w:rFonts w:ascii="Arial"/>
          <w:b/>
          <w:spacing w:val="-7"/>
          <w:szCs w:val="24"/>
        </w:rPr>
        <w:t xml:space="preserve"> </w:t>
      </w:r>
      <w:r w:rsidRPr="00721BA4">
        <w:rPr>
          <w:rFonts w:ascii="Arial"/>
          <w:b/>
          <w:spacing w:val="-2"/>
          <w:szCs w:val="24"/>
        </w:rPr>
        <w:t>(2017)</w:t>
      </w:r>
    </w:p>
    <w:p w14:paraId="4CD5873C" w14:textId="77777777" w:rsidR="00393283" w:rsidRPr="00721BA4" w:rsidRDefault="00393283" w:rsidP="00721BA4">
      <w:pPr>
        <w:pStyle w:val="BodyText"/>
        <w:spacing w:before="11" w:line="360" w:lineRule="auto"/>
        <w:rPr>
          <w:rFonts w:ascii="Arial"/>
          <w:b/>
          <w:szCs w:val="24"/>
        </w:rPr>
      </w:pPr>
    </w:p>
    <w:p w14:paraId="36B1F54B" w14:textId="77777777" w:rsidR="00393283" w:rsidRPr="00721BA4" w:rsidRDefault="00000000" w:rsidP="00721BA4">
      <w:pPr>
        <w:spacing w:line="360" w:lineRule="auto"/>
        <w:ind w:left="139" w:right="135"/>
        <w:jc w:val="both"/>
        <w:rPr>
          <w:rFonts w:ascii="Arial"/>
          <w:szCs w:val="24"/>
        </w:rPr>
      </w:pPr>
      <w:r w:rsidRPr="00721BA4">
        <w:rPr>
          <w:rFonts w:ascii="Arial"/>
          <w:szCs w:val="24"/>
        </w:rPr>
        <w:lastRenderedPageBreak/>
        <w:t>During 2017, the Videocon group got into financial difficulties and was unable to service its debt. The loans to Videocon group companies were declared as NPAs (Non-Performing Assets) with effect from June 30,</w:t>
      </w:r>
      <w:r w:rsidRPr="00721BA4">
        <w:rPr>
          <w:rFonts w:ascii="Arial"/>
          <w:spacing w:val="-2"/>
          <w:szCs w:val="24"/>
        </w:rPr>
        <w:t xml:space="preserve"> </w:t>
      </w:r>
      <w:r w:rsidRPr="00721BA4">
        <w:rPr>
          <w:rFonts w:ascii="Arial"/>
          <w:szCs w:val="24"/>
        </w:rPr>
        <w:t>2017.</w:t>
      </w:r>
      <w:r w:rsidRPr="00721BA4">
        <w:rPr>
          <w:rFonts w:ascii="Arial"/>
          <w:spacing w:val="40"/>
          <w:szCs w:val="24"/>
        </w:rPr>
        <w:t xml:space="preserve"> </w:t>
      </w:r>
      <w:r w:rsidRPr="00721BA4">
        <w:rPr>
          <w:rFonts w:ascii="Arial"/>
          <w:szCs w:val="24"/>
        </w:rPr>
        <w:t>The Indian banking</w:t>
      </w:r>
      <w:r w:rsidRPr="00721BA4">
        <w:rPr>
          <w:rFonts w:ascii="Arial"/>
          <w:spacing w:val="-1"/>
          <w:szCs w:val="24"/>
        </w:rPr>
        <w:t xml:space="preserve"> </w:t>
      </w:r>
      <w:r w:rsidRPr="00721BA4">
        <w:rPr>
          <w:rFonts w:ascii="Arial"/>
          <w:szCs w:val="24"/>
        </w:rPr>
        <w:t>system</w:t>
      </w:r>
      <w:r w:rsidRPr="00721BA4">
        <w:rPr>
          <w:rFonts w:ascii="Arial"/>
          <w:spacing w:val="-1"/>
          <w:szCs w:val="24"/>
        </w:rPr>
        <w:t xml:space="preserve"> </w:t>
      </w:r>
      <w:r w:rsidRPr="00721BA4">
        <w:rPr>
          <w:rFonts w:ascii="Arial"/>
          <w:szCs w:val="24"/>
        </w:rPr>
        <w:t>and</w:t>
      </w:r>
      <w:r w:rsidRPr="00721BA4">
        <w:rPr>
          <w:rFonts w:ascii="Arial"/>
          <w:spacing w:val="-2"/>
          <w:szCs w:val="24"/>
        </w:rPr>
        <w:t xml:space="preserve"> </w:t>
      </w:r>
      <w:r w:rsidRPr="00721BA4">
        <w:rPr>
          <w:rFonts w:ascii="Arial"/>
          <w:szCs w:val="24"/>
        </w:rPr>
        <w:t>ICICI</w:t>
      </w:r>
      <w:r w:rsidRPr="00721BA4">
        <w:rPr>
          <w:rFonts w:ascii="Arial"/>
          <w:spacing w:val="-1"/>
          <w:szCs w:val="24"/>
        </w:rPr>
        <w:t xml:space="preserve"> </w:t>
      </w:r>
      <w:r w:rsidRPr="00721BA4">
        <w:rPr>
          <w:rFonts w:ascii="Arial"/>
          <w:szCs w:val="24"/>
        </w:rPr>
        <w:t>Bank in particular,</w:t>
      </w:r>
      <w:r w:rsidRPr="00721BA4">
        <w:rPr>
          <w:rFonts w:ascii="Arial"/>
          <w:spacing w:val="-1"/>
          <w:szCs w:val="24"/>
        </w:rPr>
        <w:t xml:space="preserve"> </w:t>
      </w:r>
      <w:r w:rsidRPr="00721BA4">
        <w:rPr>
          <w:rFonts w:ascii="Arial"/>
          <w:szCs w:val="24"/>
        </w:rPr>
        <w:t>witnessed</w:t>
      </w:r>
      <w:r w:rsidRPr="00721BA4">
        <w:rPr>
          <w:rFonts w:ascii="Arial"/>
          <w:spacing w:val="-1"/>
          <w:szCs w:val="24"/>
        </w:rPr>
        <w:t xml:space="preserve"> </w:t>
      </w:r>
      <w:r w:rsidRPr="00721BA4">
        <w:rPr>
          <w:rFonts w:ascii="Arial"/>
          <w:szCs w:val="24"/>
        </w:rPr>
        <w:t>a huge</w:t>
      </w:r>
      <w:r w:rsidRPr="00721BA4">
        <w:rPr>
          <w:rFonts w:ascii="Arial"/>
          <w:spacing w:val="-1"/>
          <w:szCs w:val="24"/>
        </w:rPr>
        <w:t xml:space="preserve"> </w:t>
      </w:r>
      <w:r w:rsidRPr="00721BA4">
        <w:rPr>
          <w:rFonts w:ascii="Arial"/>
          <w:szCs w:val="24"/>
        </w:rPr>
        <w:t>surge</w:t>
      </w:r>
      <w:r w:rsidRPr="00721BA4">
        <w:rPr>
          <w:rFonts w:ascii="Arial"/>
          <w:spacing w:val="-2"/>
          <w:szCs w:val="24"/>
        </w:rPr>
        <w:t xml:space="preserve"> </w:t>
      </w:r>
      <w:r w:rsidRPr="00721BA4">
        <w:rPr>
          <w:rFonts w:ascii="Arial"/>
          <w:szCs w:val="24"/>
        </w:rPr>
        <w:t>in</w:t>
      </w:r>
      <w:r w:rsidRPr="00721BA4">
        <w:rPr>
          <w:rFonts w:ascii="Arial"/>
          <w:spacing w:val="-1"/>
          <w:szCs w:val="24"/>
        </w:rPr>
        <w:t xml:space="preserve"> </w:t>
      </w:r>
      <w:r w:rsidRPr="00721BA4">
        <w:rPr>
          <w:rFonts w:ascii="Arial"/>
          <w:szCs w:val="24"/>
        </w:rPr>
        <w:t>NPAs during 2017 and 2018. The net NPA for ICICI Bank in 2017-18 was 4.89% of advances while the corresponding figure for all</w:t>
      </w:r>
      <w:r w:rsidRPr="00721BA4">
        <w:rPr>
          <w:rFonts w:ascii="Arial"/>
          <w:spacing w:val="-2"/>
          <w:szCs w:val="24"/>
        </w:rPr>
        <w:t xml:space="preserve"> </w:t>
      </w:r>
      <w:r w:rsidRPr="00721BA4">
        <w:rPr>
          <w:rFonts w:ascii="Arial"/>
          <w:szCs w:val="24"/>
        </w:rPr>
        <w:t>private sector banks in India was only 2.2%.</w:t>
      </w:r>
      <w:r w:rsidRPr="00721BA4">
        <w:rPr>
          <w:rFonts w:ascii="Arial"/>
          <w:spacing w:val="-1"/>
          <w:szCs w:val="24"/>
        </w:rPr>
        <w:t xml:space="preserve"> </w:t>
      </w:r>
      <w:r w:rsidRPr="00721BA4">
        <w:rPr>
          <w:rFonts w:ascii="Arial"/>
          <w:szCs w:val="24"/>
        </w:rPr>
        <w:t>The market</w:t>
      </w:r>
      <w:r w:rsidRPr="00721BA4">
        <w:rPr>
          <w:rFonts w:ascii="Arial"/>
          <w:spacing w:val="-1"/>
          <w:szCs w:val="24"/>
        </w:rPr>
        <w:t xml:space="preserve"> </w:t>
      </w:r>
      <w:r w:rsidRPr="00721BA4">
        <w:rPr>
          <w:rFonts w:ascii="Arial"/>
          <w:szCs w:val="24"/>
        </w:rPr>
        <w:t>capitalization of</w:t>
      </w:r>
      <w:r w:rsidRPr="00721BA4">
        <w:rPr>
          <w:rFonts w:ascii="Arial"/>
          <w:spacing w:val="-1"/>
          <w:szCs w:val="24"/>
        </w:rPr>
        <w:t xml:space="preserve"> </w:t>
      </w:r>
      <w:r w:rsidRPr="00721BA4">
        <w:rPr>
          <w:rFonts w:ascii="Arial"/>
          <w:szCs w:val="24"/>
        </w:rPr>
        <w:t>ICICI Bank declined by over 13% between January 1 and March 31, 2018, compared to about 4% decline in</w:t>
      </w:r>
      <w:r w:rsidRPr="00721BA4">
        <w:rPr>
          <w:rFonts w:ascii="Arial"/>
          <w:spacing w:val="80"/>
          <w:szCs w:val="24"/>
        </w:rPr>
        <w:t xml:space="preserve"> </w:t>
      </w:r>
      <w:r w:rsidRPr="00721BA4">
        <w:rPr>
          <w:rFonts w:ascii="Arial"/>
          <w:szCs w:val="24"/>
        </w:rPr>
        <w:t>the Bank Nifty (the Index for the banking sector) for the same period. The absolute value of the decline in wealth of the shareholders of the Bank was over INR 237 billion.</w:t>
      </w:r>
    </w:p>
    <w:p w14:paraId="641C18AF" w14:textId="77777777" w:rsidR="00393283" w:rsidRPr="00721BA4" w:rsidRDefault="00393283" w:rsidP="00721BA4">
      <w:pPr>
        <w:pStyle w:val="BodyText"/>
        <w:spacing w:line="360" w:lineRule="auto"/>
        <w:rPr>
          <w:rFonts w:ascii="Arial"/>
          <w:szCs w:val="24"/>
        </w:rPr>
      </w:pPr>
    </w:p>
    <w:p w14:paraId="24EBD4A2" w14:textId="77777777" w:rsidR="00393283" w:rsidRDefault="00393283">
      <w:pPr>
        <w:pStyle w:val="BodyText"/>
        <w:rPr>
          <w:rFonts w:ascii="Arial"/>
          <w:sz w:val="20"/>
        </w:rPr>
      </w:pPr>
    </w:p>
    <w:p w14:paraId="06490347" w14:textId="77777777" w:rsidR="00393283" w:rsidRDefault="00000000">
      <w:pPr>
        <w:pStyle w:val="BodyText"/>
        <w:spacing w:before="179"/>
        <w:rPr>
          <w:rFonts w:ascii="Arial"/>
          <w:sz w:val="20"/>
        </w:rPr>
      </w:pPr>
      <w:r>
        <w:rPr>
          <w:noProof/>
        </w:rPr>
        <mc:AlternateContent>
          <mc:Choice Requires="wps">
            <w:drawing>
              <wp:anchor distT="0" distB="0" distL="0" distR="0" simplePos="0" relativeHeight="487594496" behindDoc="1" locked="0" layoutInCell="1" allowOverlap="1" wp14:anchorId="5EC686A8" wp14:editId="0128C1FD">
                <wp:simplePos x="0" y="0"/>
                <wp:positionH relativeFrom="page">
                  <wp:posOffset>914400</wp:posOffset>
                </wp:positionH>
                <wp:positionV relativeFrom="paragraph">
                  <wp:posOffset>275018</wp:posOffset>
                </wp:positionV>
                <wp:extent cx="1828800" cy="7620"/>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7620"/>
                        </a:xfrm>
                        <a:custGeom>
                          <a:avLst/>
                          <a:gdLst/>
                          <a:ahLst/>
                          <a:cxnLst/>
                          <a:rect l="l" t="t" r="r" b="b"/>
                          <a:pathLst>
                            <a:path w="1828800" h="7620">
                              <a:moveTo>
                                <a:pt x="1828800" y="0"/>
                              </a:moveTo>
                              <a:lnTo>
                                <a:pt x="0" y="0"/>
                              </a:lnTo>
                              <a:lnTo>
                                <a:pt x="0" y="7620"/>
                              </a:lnTo>
                              <a:lnTo>
                                <a:pt x="1828800" y="7620"/>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368F3AB" id="Graphic 23" o:spid="_x0000_s1026" style="position:absolute;margin-left:1in;margin-top:21.65pt;width:2in;height:.6pt;z-index:-15721984;visibility:visible;mso-wrap-style:square;mso-wrap-distance-left:0;mso-wrap-distance-top:0;mso-wrap-distance-right:0;mso-wrap-distance-bottom:0;mso-position-horizontal:absolute;mso-position-horizontal-relative:page;mso-position-vertical:absolute;mso-position-vertical-relative:text;v-text-anchor:top" coordsize="182880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" path="m1828800,l,,,7620r1828800,l1828800,xe" fillcolor="black" stroked="f">
                <v:path arrowok="t"/>
                <w10:wrap type="topAndBottom" anchorx="page"/>
              </v:shape>
            </w:pict>
          </mc:Fallback>
        </mc:AlternateContent>
      </w:r>
    </w:p>
    <w:p w14:paraId="2A3743C8" w14:textId="77777777" w:rsidR="00393283" w:rsidRDefault="00393283">
      <w:pPr>
        <w:spacing w:line="249" w:lineRule="auto"/>
        <w:jc w:val="both"/>
        <w:rPr>
          <w:sz w:val="18"/>
        </w:rPr>
        <w:sectPr w:rsidR="00393283">
          <w:pgSz w:w="12240" w:h="15840"/>
          <w:pgMar w:top="1240" w:right="1300" w:bottom="700" w:left="1300" w:header="916" w:footer="501" w:gutter="0"/>
          <w:cols w:space="720"/>
        </w:sectPr>
      </w:pPr>
      <w:bookmarkStart w:id="15" w:name="_bookmark16"/>
      <w:bookmarkEnd w:id="15"/>
    </w:p>
    <w:p w14:paraId="25301857" w14:textId="6E2624C9" w:rsidR="00393283" w:rsidRPr="00B46080" w:rsidRDefault="00000000" w:rsidP="00B46080">
      <w:pPr>
        <w:spacing w:before="193" w:line="360" w:lineRule="auto"/>
        <w:ind w:left="140"/>
        <w:jc w:val="both"/>
        <w:rPr>
          <w:rFonts w:ascii="Arial"/>
          <w:b/>
          <w:szCs w:val="24"/>
        </w:rPr>
      </w:pPr>
      <w:bookmarkStart w:id="16" w:name="Media_Attention_(early_2018)_"/>
      <w:bookmarkEnd w:id="16"/>
      <w:r w:rsidRPr="00B46080">
        <w:rPr>
          <w:rFonts w:ascii="Arial"/>
          <w:b/>
          <w:szCs w:val="24"/>
        </w:rPr>
        <w:lastRenderedPageBreak/>
        <w:t>Media</w:t>
      </w:r>
      <w:r w:rsidRPr="00B46080">
        <w:rPr>
          <w:rFonts w:ascii="Arial"/>
          <w:b/>
          <w:spacing w:val="-4"/>
          <w:szCs w:val="24"/>
        </w:rPr>
        <w:t xml:space="preserve"> </w:t>
      </w:r>
      <w:r w:rsidRPr="00B46080">
        <w:rPr>
          <w:rFonts w:ascii="Arial"/>
          <w:b/>
          <w:szCs w:val="24"/>
        </w:rPr>
        <w:t>Attention</w:t>
      </w:r>
      <w:r w:rsidRPr="00B46080">
        <w:rPr>
          <w:rFonts w:ascii="Arial"/>
          <w:b/>
          <w:spacing w:val="-4"/>
          <w:szCs w:val="24"/>
        </w:rPr>
        <w:t xml:space="preserve"> </w:t>
      </w:r>
      <w:r w:rsidRPr="00B46080">
        <w:rPr>
          <w:rFonts w:ascii="Arial"/>
          <w:b/>
          <w:szCs w:val="24"/>
        </w:rPr>
        <w:t>(early</w:t>
      </w:r>
      <w:r w:rsidRPr="00B46080">
        <w:rPr>
          <w:rFonts w:ascii="Arial"/>
          <w:b/>
          <w:spacing w:val="-3"/>
          <w:szCs w:val="24"/>
        </w:rPr>
        <w:t xml:space="preserve"> </w:t>
      </w:r>
      <w:r w:rsidRPr="00B46080">
        <w:rPr>
          <w:rFonts w:ascii="Arial"/>
          <w:b/>
          <w:spacing w:val="-2"/>
          <w:szCs w:val="24"/>
        </w:rPr>
        <w:t>2018)</w:t>
      </w:r>
    </w:p>
    <w:p w14:paraId="41227C6D" w14:textId="77777777" w:rsidR="00393283" w:rsidRPr="00B46080" w:rsidRDefault="00393283" w:rsidP="00B46080">
      <w:pPr>
        <w:pStyle w:val="BodyText"/>
        <w:spacing w:before="8" w:line="360" w:lineRule="auto"/>
        <w:rPr>
          <w:rFonts w:ascii="Arial"/>
          <w:b/>
          <w:szCs w:val="24"/>
        </w:rPr>
      </w:pPr>
    </w:p>
    <w:p w14:paraId="630C2BA0" w14:textId="77777777" w:rsidR="00393283" w:rsidRPr="00B46080" w:rsidRDefault="00000000" w:rsidP="00B46080">
      <w:pPr>
        <w:spacing w:before="1" w:line="360" w:lineRule="auto"/>
        <w:ind w:left="140" w:right="135"/>
        <w:jc w:val="both"/>
        <w:rPr>
          <w:rFonts w:ascii="Arial" w:hAnsi="Arial"/>
          <w:szCs w:val="24"/>
        </w:rPr>
      </w:pPr>
      <w:r w:rsidRPr="00B46080">
        <w:rPr>
          <w:rFonts w:ascii="Arial" w:hAnsi="Arial"/>
          <w:szCs w:val="24"/>
        </w:rPr>
        <w:t>As already stated, the whistleblower’s letter did not attract much attention for almost two years. The NPA crisis at ICICI and other banks led to heightened concern about bad loans and bank frauds, and the whistleblower’s allegations resurfaced in the social media in early 2018.</w:t>
      </w:r>
    </w:p>
    <w:p w14:paraId="64F284A5" w14:textId="77777777" w:rsidR="00393283" w:rsidRPr="00B46080" w:rsidRDefault="00393283" w:rsidP="00B46080">
      <w:pPr>
        <w:pStyle w:val="BodyText"/>
        <w:spacing w:before="11" w:line="360" w:lineRule="auto"/>
        <w:rPr>
          <w:rFonts w:ascii="Arial"/>
          <w:szCs w:val="24"/>
        </w:rPr>
      </w:pPr>
    </w:p>
    <w:p w14:paraId="46D7A0E2" w14:textId="77777777" w:rsidR="00393283" w:rsidRPr="00B46080" w:rsidRDefault="00000000" w:rsidP="00B46080">
      <w:pPr>
        <w:spacing w:line="360" w:lineRule="auto"/>
        <w:ind w:left="140"/>
        <w:jc w:val="both"/>
        <w:rPr>
          <w:rFonts w:ascii="Arial"/>
          <w:b/>
          <w:szCs w:val="24"/>
        </w:rPr>
      </w:pPr>
      <w:bookmarkStart w:id="17" w:name="Board_Decision_of_March_2018_"/>
      <w:bookmarkEnd w:id="17"/>
      <w:r w:rsidRPr="00B46080">
        <w:rPr>
          <w:rFonts w:ascii="Arial"/>
          <w:b/>
          <w:szCs w:val="24"/>
        </w:rPr>
        <w:t>Board</w:t>
      </w:r>
      <w:r w:rsidRPr="00B46080">
        <w:rPr>
          <w:rFonts w:ascii="Arial"/>
          <w:b/>
          <w:spacing w:val="-4"/>
          <w:szCs w:val="24"/>
        </w:rPr>
        <w:t xml:space="preserve"> </w:t>
      </w:r>
      <w:r w:rsidRPr="00B46080">
        <w:rPr>
          <w:rFonts w:ascii="Arial"/>
          <w:b/>
          <w:szCs w:val="24"/>
        </w:rPr>
        <w:t>Decision</w:t>
      </w:r>
      <w:r w:rsidRPr="00B46080">
        <w:rPr>
          <w:rFonts w:ascii="Arial"/>
          <w:b/>
          <w:spacing w:val="-3"/>
          <w:szCs w:val="24"/>
        </w:rPr>
        <w:t xml:space="preserve"> </w:t>
      </w:r>
      <w:r w:rsidRPr="00B46080">
        <w:rPr>
          <w:rFonts w:ascii="Arial"/>
          <w:b/>
          <w:szCs w:val="24"/>
        </w:rPr>
        <w:t>of</w:t>
      </w:r>
      <w:r w:rsidRPr="00B46080">
        <w:rPr>
          <w:rFonts w:ascii="Arial"/>
          <w:b/>
          <w:spacing w:val="-3"/>
          <w:szCs w:val="24"/>
        </w:rPr>
        <w:t xml:space="preserve"> </w:t>
      </w:r>
      <w:r w:rsidRPr="00B46080">
        <w:rPr>
          <w:rFonts w:ascii="Arial"/>
          <w:b/>
          <w:szCs w:val="24"/>
        </w:rPr>
        <w:t>March</w:t>
      </w:r>
      <w:r w:rsidRPr="00B46080">
        <w:rPr>
          <w:rFonts w:ascii="Arial"/>
          <w:b/>
          <w:spacing w:val="-2"/>
          <w:szCs w:val="24"/>
        </w:rPr>
        <w:t xml:space="preserve"> </w:t>
      </w:r>
      <w:r w:rsidRPr="00B46080">
        <w:rPr>
          <w:rFonts w:ascii="Arial"/>
          <w:b/>
          <w:spacing w:val="-4"/>
          <w:szCs w:val="24"/>
        </w:rPr>
        <w:t>2018</w:t>
      </w:r>
    </w:p>
    <w:p w14:paraId="5943CA01" w14:textId="77777777" w:rsidR="00393283" w:rsidRPr="00B46080" w:rsidRDefault="00393283" w:rsidP="00B46080">
      <w:pPr>
        <w:pStyle w:val="BodyText"/>
        <w:spacing w:before="9" w:line="360" w:lineRule="auto"/>
        <w:rPr>
          <w:rFonts w:ascii="Arial"/>
          <w:b/>
          <w:szCs w:val="24"/>
        </w:rPr>
      </w:pPr>
    </w:p>
    <w:p w14:paraId="18A96248" w14:textId="77777777" w:rsidR="00393283" w:rsidRPr="00B46080" w:rsidRDefault="00000000" w:rsidP="00B46080">
      <w:pPr>
        <w:spacing w:line="360" w:lineRule="auto"/>
        <w:ind w:left="140" w:right="134"/>
        <w:jc w:val="both"/>
        <w:rPr>
          <w:rFonts w:ascii="Arial" w:hAnsi="Arial"/>
          <w:szCs w:val="24"/>
        </w:rPr>
      </w:pPr>
      <w:r w:rsidRPr="00B46080">
        <w:rPr>
          <w:rFonts w:ascii="Arial" w:hAnsi="Arial"/>
          <w:szCs w:val="24"/>
        </w:rPr>
        <w:t>Following a board meeting on March 28, 2018, ICICI Bank responded to the allegations through a Press Release</w:t>
      </w:r>
      <w:hyperlink w:anchor="_bookmark19" w:history="1">
        <w:r w:rsidRPr="00B46080">
          <w:rPr>
            <w:rFonts w:ascii="Arial" w:hAnsi="Arial"/>
            <w:szCs w:val="24"/>
            <w:vertAlign w:val="superscript"/>
          </w:rPr>
          <w:t>21</w:t>
        </w:r>
      </w:hyperlink>
      <w:r w:rsidRPr="00B46080">
        <w:rPr>
          <w:rFonts w:ascii="Arial" w:hAnsi="Arial"/>
          <w:szCs w:val="24"/>
        </w:rPr>
        <w:t xml:space="preserve">. The communication stated that, “There have been some malicious and unfounded </w:t>
      </w:r>
      <w:proofErr w:type="spellStart"/>
      <w:r w:rsidRPr="00B46080">
        <w:rPr>
          <w:rFonts w:ascii="Arial" w:hAnsi="Arial"/>
          <w:szCs w:val="24"/>
        </w:rPr>
        <w:t>rumours</w:t>
      </w:r>
      <w:proofErr w:type="spellEnd"/>
      <w:r w:rsidRPr="00B46080">
        <w:rPr>
          <w:rFonts w:ascii="Arial" w:hAnsi="Arial"/>
          <w:szCs w:val="24"/>
        </w:rPr>
        <w:t xml:space="preserve"> in the past few days casting insinuations on ICICI Bank and its MD &amp; CEO. Similar </w:t>
      </w:r>
      <w:proofErr w:type="spellStart"/>
      <w:r w:rsidRPr="00B46080">
        <w:rPr>
          <w:rFonts w:ascii="Arial" w:hAnsi="Arial"/>
          <w:szCs w:val="24"/>
        </w:rPr>
        <w:t>rumours</w:t>
      </w:r>
      <w:proofErr w:type="spellEnd"/>
      <w:r w:rsidRPr="00B46080">
        <w:rPr>
          <w:rFonts w:ascii="Arial" w:hAnsi="Arial"/>
          <w:szCs w:val="24"/>
        </w:rPr>
        <w:t xml:space="preserve"> had first surfaced in </w:t>
      </w:r>
      <w:proofErr w:type="gramStart"/>
      <w:r w:rsidRPr="00B46080">
        <w:rPr>
          <w:rFonts w:ascii="Arial" w:hAnsi="Arial"/>
          <w:szCs w:val="24"/>
        </w:rPr>
        <w:t>the mid</w:t>
      </w:r>
      <w:proofErr w:type="gramEnd"/>
      <w:r w:rsidRPr="00B46080">
        <w:rPr>
          <w:rFonts w:ascii="Arial" w:hAnsi="Arial"/>
          <w:szCs w:val="24"/>
        </w:rPr>
        <w:t>-2016 and had been appropriately responded to. … The Bank has a well-structured and standardized credit approval process. … The larger exposures are approved by the Credit</w:t>
      </w:r>
      <w:r w:rsidRPr="00B46080">
        <w:rPr>
          <w:rFonts w:ascii="Arial" w:hAnsi="Arial"/>
          <w:spacing w:val="80"/>
          <w:szCs w:val="24"/>
        </w:rPr>
        <w:t xml:space="preserve"> </w:t>
      </w:r>
      <w:r w:rsidRPr="00B46080">
        <w:rPr>
          <w:rFonts w:ascii="Arial" w:hAnsi="Arial"/>
          <w:szCs w:val="24"/>
        </w:rPr>
        <w:t>Committee</w:t>
      </w:r>
      <w:r w:rsidRPr="00B46080">
        <w:rPr>
          <w:rFonts w:ascii="Arial" w:hAnsi="Arial"/>
          <w:spacing w:val="-1"/>
          <w:szCs w:val="24"/>
        </w:rPr>
        <w:t xml:space="preserve"> </w:t>
      </w:r>
      <w:r w:rsidRPr="00B46080">
        <w:rPr>
          <w:rFonts w:ascii="Arial" w:hAnsi="Arial"/>
          <w:szCs w:val="24"/>
        </w:rPr>
        <w:t>of</w:t>
      </w:r>
      <w:r w:rsidRPr="00B46080">
        <w:rPr>
          <w:rFonts w:ascii="Arial" w:hAnsi="Arial"/>
          <w:spacing w:val="-3"/>
          <w:szCs w:val="24"/>
        </w:rPr>
        <w:t xml:space="preserve"> </w:t>
      </w:r>
      <w:r w:rsidRPr="00B46080">
        <w:rPr>
          <w:rFonts w:ascii="Arial" w:hAnsi="Arial"/>
          <w:szCs w:val="24"/>
        </w:rPr>
        <w:t>the</w:t>
      </w:r>
      <w:r w:rsidRPr="00B46080">
        <w:rPr>
          <w:rFonts w:ascii="Arial" w:hAnsi="Arial"/>
          <w:spacing w:val="-1"/>
          <w:szCs w:val="24"/>
        </w:rPr>
        <w:t xml:space="preserve"> </w:t>
      </w:r>
      <w:r w:rsidRPr="00B46080">
        <w:rPr>
          <w:rFonts w:ascii="Arial" w:hAnsi="Arial"/>
          <w:szCs w:val="24"/>
        </w:rPr>
        <w:t>Board.</w:t>
      </w:r>
      <w:r w:rsidRPr="00B46080">
        <w:rPr>
          <w:rFonts w:ascii="Arial" w:hAnsi="Arial"/>
          <w:spacing w:val="-2"/>
          <w:szCs w:val="24"/>
        </w:rPr>
        <w:t xml:space="preserve"> </w:t>
      </w:r>
      <w:r w:rsidRPr="00B46080">
        <w:rPr>
          <w:rFonts w:ascii="Arial" w:hAnsi="Arial"/>
          <w:szCs w:val="24"/>
        </w:rPr>
        <w:t>…</w:t>
      </w:r>
      <w:r w:rsidRPr="00B46080">
        <w:rPr>
          <w:rFonts w:ascii="Arial" w:hAnsi="Arial"/>
          <w:spacing w:val="-2"/>
          <w:szCs w:val="24"/>
        </w:rPr>
        <w:t xml:space="preserve"> </w:t>
      </w:r>
      <w:r w:rsidRPr="00B46080">
        <w:rPr>
          <w:rFonts w:ascii="Arial" w:hAnsi="Arial"/>
          <w:szCs w:val="24"/>
        </w:rPr>
        <w:t>no</w:t>
      </w:r>
      <w:r w:rsidRPr="00B46080">
        <w:rPr>
          <w:rFonts w:ascii="Arial" w:hAnsi="Arial"/>
          <w:spacing w:val="-1"/>
          <w:szCs w:val="24"/>
        </w:rPr>
        <w:t xml:space="preserve"> </w:t>
      </w:r>
      <w:r w:rsidRPr="00B46080">
        <w:rPr>
          <w:rFonts w:ascii="Arial" w:hAnsi="Arial"/>
          <w:szCs w:val="24"/>
        </w:rPr>
        <w:t>individual</w:t>
      </w:r>
      <w:r w:rsidRPr="00B46080">
        <w:rPr>
          <w:rFonts w:ascii="Arial" w:hAnsi="Arial"/>
          <w:spacing w:val="-2"/>
          <w:szCs w:val="24"/>
        </w:rPr>
        <w:t xml:space="preserve"> </w:t>
      </w:r>
      <w:r w:rsidRPr="00B46080">
        <w:rPr>
          <w:rFonts w:ascii="Arial" w:hAnsi="Arial"/>
          <w:szCs w:val="24"/>
        </w:rPr>
        <w:t>employee,</w:t>
      </w:r>
      <w:r w:rsidRPr="00B46080">
        <w:rPr>
          <w:rFonts w:ascii="Arial" w:hAnsi="Arial"/>
          <w:spacing w:val="-3"/>
          <w:szCs w:val="24"/>
        </w:rPr>
        <w:t xml:space="preserve"> </w:t>
      </w:r>
      <w:r w:rsidRPr="00B46080">
        <w:rPr>
          <w:rFonts w:ascii="Arial" w:hAnsi="Arial"/>
          <w:szCs w:val="24"/>
        </w:rPr>
        <w:t>whatever</w:t>
      </w:r>
      <w:r w:rsidRPr="00B46080">
        <w:rPr>
          <w:rFonts w:ascii="Arial" w:hAnsi="Arial"/>
          <w:spacing w:val="-1"/>
          <w:szCs w:val="24"/>
        </w:rPr>
        <w:t xml:space="preserve"> </w:t>
      </w:r>
      <w:r w:rsidRPr="00B46080">
        <w:rPr>
          <w:rFonts w:ascii="Arial" w:hAnsi="Arial"/>
          <w:szCs w:val="24"/>
        </w:rPr>
        <w:t>may</w:t>
      </w:r>
      <w:r w:rsidRPr="00B46080">
        <w:rPr>
          <w:rFonts w:ascii="Arial" w:hAnsi="Arial"/>
          <w:spacing w:val="-1"/>
          <w:szCs w:val="24"/>
        </w:rPr>
        <w:t xml:space="preserve"> </w:t>
      </w:r>
      <w:r w:rsidRPr="00B46080">
        <w:rPr>
          <w:rFonts w:ascii="Arial" w:hAnsi="Arial"/>
          <w:szCs w:val="24"/>
        </w:rPr>
        <w:t>be</w:t>
      </w:r>
      <w:r w:rsidRPr="00B46080">
        <w:rPr>
          <w:rFonts w:ascii="Arial" w:hAnsi="Arial"/>
          <w:spacing w:val="-1"/>
          <w:szCs w:val="24"/>
        </w:rPr>
        <w:t xml:space="preserve"> </w:t>
      </w:r>
      <w:r w:rsidRPr="00B46080">
        <w:rPr>
          <w:rFonts w:ascii="Arial" w:hAnsi="Arial"/>
          <w:szCs w:val="24"/>
        </w:rPr>
        <w:t>his</w:t>
      </w:r>
      <w:r w:rsidRPr="00B46080">
        <w:rPr>
          <w:rFonts w:ascii="Arial" w:hAnsi="Arial"/>
          <w:spacing w:val="-1"/>
          <w:szCs w:val="24"/>
        </w:rPr>
        <w:t xml:space="preserve"> </w:t>
      </w:r>
      <w:r w:rsidRPr="00B46080">
        <w:rPr>
          <w:rFonts w:ascii="Arial" w:hAnsi="Arial"/>
          <w:szCs w:val="24"/>
        </w:rPr>
        <w:t>or</w:t>
      </w:r>
      <w:r w:rsidRPr="00B46080">
        <w:rPr>
          <w:rFonts w:ascii="Arial" w:hAnsi="Arial"/>
          <w:spacing w:val="-1"/>
          <w:szCs w:val="24"/>
        </w:rPr>
        <w:t xml:space="preserve"> </w:t>
      </w:r>
      <w:r w:rsidRPr="00B46080">
        <w:rPr>
          <w:rFonts w:ascii="Arial" w:hAnsi="Arial"/>
          <w:szCs w:val="24"/>
        </w:rPr>
        <w:t>her</w:t>
      </w:r>
      <w:r w:rsidRPr="00B46080">
        <w:rPr>
          <w:rFonts w:ascii="Arial" w:hAnsi="Arial"/>
          <w:spacing w:val="-1"/>
          <w:szCs w:val="24"/>
        </w:rPr>
        <w:t xml:space="preserve"> </w:t>
      </w:r>
      <w:r w:rsidRPr="00B46080">
        <w:rPr>
          <w:rFonts w:ascii="Arial" w:hAnsi="Arial"/>
          <w:szCs w:val="24"/>
        </w:rPr>
        <w:t>position,</w:t>
      </w:r>
      <w:r w:rsidRPr="00B46080">
        <w:rPr>
          <w:rFonts w:ascii="Arial" w:hAnsi="Arial"/>
          <w:spacing w:val="-2"/>
          <w:szCs w:val="24"/>
        </w:rPr>
        <w:t xml:space="preserve"> </w:t>
      </w:r>
      <w:proofErr w:type="gramStart"/>
      <w:r w:rsidRPr="00B46080">
        <w:rPr>
          <w:rFonts w:ascii="Arial" w:hAnsi="Arial"/>
          <w:szCs w:val="24"/>
        </w:rPr>
        <w:t>has</w:t>
      </w:r>
      <w:r w:rsidRPr="00B46080">
        <w:rPr>
          <w:rFonts w:ascii="Arial" w:hAnsi="Arial"/>
          <w:spacing w:val="-1"/>
          <w:szCs w:val="24"/>
        </w:rPr>
        <w:t xml:space="preserve"> </w:t>
      </w:r>
      <w:r w:rsidRPr="00B46080">
        <w:rPr>
          <w:rFonts w:ascii="Arial" w:hAnsi="Arial"/>
          <w:szCs w:val="24"/>
        </w:rPr>
        <w:t>the</w:t>
      </w:r>
      <w:r w:rsidRPr="00B46080">
        <w:rPr>
          <w:rFonts w:ascii="Arial" w:hAnsi="Arial"/>
          <w:spacing w:val="-1"/>
          <w:szCs w:val="24"/>
        </w:rPr>
        <w:t xml:space="preserve"> </w:t>
      </w:r>
      <w:r w:rsidRPr="00B46080">
        <w:rPr>
          <w:rFonts w:ascii="Arial" w:hAnsi="Arial"/>
          <w:szCs w:val="24"/>
        </w:rPr>
        <w:t>ability</w:t>
      </w:r>
      <w:r w:rsidRPr="00B46080">
        <w:rPr>
          <w:rFonts w:ascii="Arial" w:hAnsi="Arial"/>
          <w:spacing w:val="-1"/>
          <w:szCs w:val="24"/>
        </w:rPr>
        <w:t xml:space="preserve"> </w:t>
      </w:r>
      <w:r w:rsidRPr="00B46080">
        <w:rPr>
          <w:rFonts w:ascii="Arial" w:hAnsi="Arial"/>
          <w:szCs w:val="24"/>
        </w:rPr>
        <w:t>to</w:t>
      </w:r>
      <w:proofErr w:type="gramEnd"/>
      <w:r w:rsidRPr="00B46080">
        <w:rPr>
          <w:rFonts w:ascii="Arial" w:hAnsi="Arial"/>
          <w:szCs w:val="24"/>
        </w:rPr>
        <w:t xml:space="preserve"> influence the credit decision at the Bank.”</w:t>
      </w:r>
    </w:p>
    <w:p w14:paraId="352C166F" w14:textId="77777777" w:rsidR="00393283" w:rsidRPr="00B46080" w:rsidRDefault="00393283" w:rsidP="00B46080">
      <w:pPr>
        <w:pStyle w:val="BodyText"/>
        <w:spacing w:before="10" w:line="360" w:lineRule="auto"/>
        <w:rPr>
          <w:rFonts w:ascii="Arial"/>
          <w:szCs w:val="24"/>
        </w:rPr>
      </w:pPr>
    </w:p>
    <w:p w14:paraId="77657597" w14:textId="77777777" w:rsidR="00393283" w:rsidRPr="00B46080" w:rsidRDefault="00000000" w:rsidP="00B46080">
      <w:pPr>
        <w:spacing w:line="360" w:lineRule="auto"/>
        <w:ind w:left="140" w:right="136"/>
        <w:jc w:val="both"/>
        <w:rPr>
          <w:rFonts w:ascii="Arial" w:hAnsi="Arial"/>
          <w:szCs w:val="24"/>
        </w:rPr>
      </w:pPr>
      <w:r w:rsidRPr="00B46080">
        <w:rPr>
          <w:rFonts w:ascii="Arial" w:hAnsi="Arial"/>
          <w:szCs w:val="24"/>
        </w:rPr>
        <w:t>As regards the Bank’s exposure to Videocon group, the Press Release stated that the Bank: a) was a member of a consortium of over 20 banks and financial institutions that had sanctioned the loan to Videocon group, b) had lent less than 10% of the syndicated loan, c) was not the Lead Bank of the consortium, d) had sanctioned the loan following due process, e) had lent on terms and conditions that were</w:t>
      </w:r>
      <w:r w:rsidRPr="00B46080">
        <w:rPr>
          <w:rFonts w:ascii="Arial" w:hAnsi="Arial"/>
          <w:spacing w:val="-1"/>
          <w:szCs w:val="24"/>
        </w:rPr>
        <w:t xml:space="preserve"> </w:t>
      </w:r>
      <w:r w:rsidRPr="00B46080">
        <w:rPr>
          <w:rFonts w:ascii="Arial" w:hAnsi="Arial"/>
          <w:szCs w:val="24"/>
        </w:rPr>
        <w:t>identical</w:t>
      </w:r>
      <w:r w:rsidRPr="00B46080">
        <w:rPr>
          <w:rFonts w:ascii="Arial" w:hAnsi="Arial"/>
          <w:spacing w:val="-3"/>
          <w:szCs w:val="24"/>
        </w:rPr>
        <w:t xml:space="preserve"> </w:t>
      </w:r>
      <w:r w:rsidRPr="00B46080">
        <w:rPr>
          <w:rFonts w:ascii="Arial" w:hAnsi="Arial"/>
          <w:szCs w:val="24"/>
        </w:rPr>
        <w:t>with</w:t>
      </w:r>
      <w:r w:rsidRPr="00B46080">
        <w:rPr>
          <w:rFonts w:ascii="Arial" w:hAnsi="Arial"/>
          <w:spacing w:val="-1"/>
          <w:szCs w:val="24"/>
        </w:rPr>
        <w:t xml:space="preserve"> </w:t>
      </w:r>
      <w:r w:rsidRPr="00B46080">
        <w:rPr>
          <w:rFonts w:ascii="Arial" w:hAnsi="Arial"/>
          <w:szCs w:val="24"/>
        </w:rPr>
        <w:t>those</w:t>
      </w:r>
      <w:r w:rsidRPr="00B46080">
        <w:rPr>
          <w:rFonts w:ascii="Arial" w:hAnsi="Arial"/>
          <w:spacing w:val="-1"/>
          <w:szCs w:val="24"/>
        </w:rPr>
        <w:t xml:space="preserve"> </w:t>
      </w:r>
      <w:r w:rsidRPr="00B46080">
        <w:rPr>
          <w:rFonts w:ascii="Arial" w:hAnsi="Arial"/>
          <w:szCs w:val="24"/>
        </w:rPr>
        <w:t>offered</w:t>
      </w:r>
      <w:r w:rsidRPr="00B46080">
        <w:rPr>
          <w:rFonts w:ascii="Arial" w:hAnsi="Arial"/>
          <w:spacing w:val="-1"/>
          <w:szCs w:val="24"/>
        </w:rPr>
        <w:t xml:space="preserve"> </w:t>
      </w:r>
      <w:r w:rsidRPr="00B46080">
        <w:rPr>
          <w:rFonts w:ascii="Arial" w:hAnsi="Arial"/>
          <w:szCs w:val="24"/>
        </w:rPr>
        <w:t>to</w:t>
      </w:r>
      <w:r w:rsidRPr="00B46080">
        <w:rPr>
          <w:rFonts w:ascii="Arial" w:hAnsi="Arial"/>
          <w:spacing w:val="-1"/>
          <w:szCs w:val="24"/>
        </w:rPr>
        <w:t xml:space="preserve"> </w:t>
      </w:r>
      <w:r w:rsidRPr="00B46080">
        <w:rPr>
          <w:rFonts w:ascii="Arial" w:hAnsi="Arial"/>
          <w:szCs w:val="24"/>
        </w:rPr>
        <w:t>the</w:t>
      </w:r>
      <w:r w:rsidRPr="00B46080">
        <w:rPr>
          <w:rFonts w:ascii="Arial" w:hAnsi="Arial"/>
          <w:spacing w:val="-1"/>
          <w:szCs w:val="24"/>
        </w:rPr>
        <w:t xml:space="preserve"> </w:t>
      </w:r>
      <w:r w:rsidRPr="00B46080">
        <w:rPr>
          <w:rFonts w:ascii="Arial" w:hAnsi="Arial"/>
          <w:szCs w:val="24"/>
        </w:rPr>
        <w:t>consortium,</w:t>
      </w:r>
      <w:r w:rsidRPr="00B46080">
        <w:rPr>
          <w:rFonts w:ascii="Arial" w:hAnsi="Arial"/>
          <w:spacing w:val="-2"/>
          <w:szCs w:val="24"/>
        </w:rPr>
        <w:t xml:space="preserve"> </w:t>
      </w:r>
      <w:r w:rsidRPr="00B46080">
        <w:rPr>
          <w:rFonts w:ascii="Arial" w:hAnsi="Arial"/>
          <w:szCs w:val="24"/>
        </w:rPr>
        <w:t>f)</w:t>
      </w:r>
      <w:r w:rsidRPr="00B46080">
        <w:rPr>
          <w:rFonts w:ascii="Arial" w:hAnsi="Arial"/>
          <w:spacing w:val="-1"/>
          <w:szCs w:val="24"/>
        </w:rPr>
        <w:t xml:space="preserve"> </w:t>
      </w:r>
      <w:r w:rsidRPr="00B46080">
        <w:rPr>
          <w:rFonts w:ascii="Arial" w:hAnsi="Arial"/>
          <w:szCs w:val="24"/>
        </w:rPr>
        <w:t>had</w:t>
      </w:r>
      <w:r w:rsidRPr="00B46080">
        <w:rPr>
          <w:rFonts w:ascii="Arial" w:hAnsi="Arial"/>
          <w:spacing w:val="-1"/>
          <w:szCs w:val="24"/>
        </w:rPr>
        <w:t xml:space="preserve"> </w:t>
      </w:r>
      <w:r w:rsidRPr="00B46080">
        <w:rPr>
          <w:rFonts w:ascii="Arial" w:hAnsi="Arial"/>
          <w:szCs w:val="24"/>
        </w:rPr>
        <w:t>disbursed</w:t>
      </w:r>
      <w:r w:rsidRPr="00B46080">
        <w:rPr>
          <w:rFonts w:ascii="Arial" w:hAnsi="Arial"/>
          <w:spacing w:val="-1"/>
          <w:szCs w:val="24"/>
        </w:rPr>
        <w:t xml:space="preserve"> </w:t>
      </w:r>
      <w:r w:rsidRPr="00B46080">
        <w:rPr>
          <w:rFonts w:ascii="Arial" w:hAnsi="Arial"/>
          <w:szCs w:val="24"/>
        </w:rPr>
        <w:t>the</w:t>
      </w:r>
      <w:r w:rsidRPr="00B46080">
        <w:rPr>
          <w:rFonts w:ascii="Arial" w:hAnsi="Arial"/>
          <w:spacing w:val="-1"/>
          <w:szCs w:val="24"/>
        </w:rPr>
        <w:t xml:space="preserve"> </w:t>
      </w:r>
      <w:r w:rsidRPr="00B46080">
        <w:rPr>
          <w:rFonts w:ascii="Arial" w:hAnsi="Arial"/>
          <w:szCs w:val="24"/>
        </w:rPr>
        <w:t>loan</w:t>
      </w:r>
      <w:r w:rsidRPr="00B46080">
        <w:rPr>
          <w:rFonts w:ascii="Arial" w:hAnsi="Arial"/>
          <w:spacing w:val="-1"/>
          <w:szCs w:val="24"/>
        </w:rPr>
        <w:t xml:space="preserve"> </w:t>
      </w:r>
      <w:r w:rsidRPr="00B46080">
        <w:rPr>
          <w:rFonts w:ascii="Arial" w:hAnsi="Arial"/>
          <w:szCs w:val="24"/>
        </w:rPr>
        <w:t>through</w:t>
      </w:r>
      <w:r w:rsidRPr="00B46080">
        <w:rPr>
          <w:rFonts w:ascii="Arial" w:hAnsi="Arial"/>
          <w:spacing w:val="-1"/>
          <w:szCs w:val="24"/>
        </w:rPr>
        <w:t xml:space="preserve"> </w:t>
      </w:r>
      <w:r w:rsidRPr="00B46080">
        <w:rPr>
          <w:rFonts w:ascii="Arial" w:hAnsi="Arial"/>
          <w:szCs w:val="24"/>
        </w:rPr>
        <w:t>the</w:t>
      </w:r>
      <w:r w:rsidRPr="00B46080">
        <w:rPr>
          <w:rFonts w:ascii="Arial" w:hAnsi="Arial"/>
          <w:spacing w:val="-1"/>
          <w:szCs w:val="24"/>
        </w:rPr>
        <w:t xml:space="preserve"> </w:t>
      </w:r>
      <w:r w:rsidRPr="00B46080">
        <w:rPr>
          <w:rFonts w:ascii="Arial" w:hAnsi="Arial"/>
          <w:szCs w:val="24"/>
        </w:rPr>
        <w:t>common</w:t>
      </w:r>
      <w:r w:rsidRPr="00B46080">
        <w:rPr>
          <w:rFonts w:ascii="Arial" w:hAnsi="Arial"/>
          <w:spacing w:val="-1"/>
          <w:szCs w:val="24"/>
        </w:rPr>
        <w:t xml:space="preserve"> </w:t>
      </w:r>
      <w:r w:rsidRPr="00B46080">
        <w:rPr>
          <w:rFonts w:ascii="Arial" w:hAnsi="Arial"/>
          <w:szCs w:val="24"/>
        </w:rPr>
        <w:t>escrow pool</w:t>
      </w:r>
      <w:r w:rsidRPr="00B46080">
        <w:rPr>
          <w:rFonts w:ascii="Arial" w:hAnsi="Arial"/>
          <w:spacing w:val="-1"/>
          <w:szCs w:val="24"/>
        </w:rPr>
        <w:t xml:space="preserve"> </w:t>
      </w:r>
      <w:r w:rsidRPr="00B46080">
        <w:rPr>
          <w:rFonts w:ascii="Arial" w:hAnsi="Arial"/>
          <w:szCs w:val="24"/>
        </w:rPr>
        <w:t>account</w:t>
      </w:r>
      <w:r w:rsidRPr="00B46080">
        <w:rPr>
          <w:rFonts w:ascii="Arial" w:hAnsi="Arial"/>
          <w:spacing w:val="-2"/>
          <w:szCs w:val="24"/>
        </w:rPr>
        <w:t xml:space="preserve"> </w:t>
      </w:r>
      <w:r w:rsidRPr="00B46080">
        <w:rPr>
          <w:rFonts w:ascii="Arial" w:hAnsi="Arial"/>
          <w:szCs w:val="24"/>
        </w:rPr>
        <w:t>maintained by the Lead Bank.</w:t>
      </w:r>
      <w:r w:rsidRPr="00B46080">
        <w:rPr>
          <w:rFonts w:ascii="Arial" w:hAnsi="Arial"/>
          <w:spacing w:val="-1"/>
          <w:szCs w:val="24"/>
        </w:rPr>
        <w:t xml:space="preserve"> </w:t>
      </w:r>
      <w:r w:rsidRPr="00B46080">
        <w:rPr>
          <w:rFonts w:ascii="Arial" w:hAnsi="Arial"/>
          <w:szCs w:val="24"/>
        </w:rPr>
        <w:t>Above</w:t>
      </w:r>
      <w:r w:rsidRPr="00B46080">
        <w:rPr>
          <w:rFonts w:ascii="Arial" w:hAnsi="Arial"/>
          <w:spacing w:val="-1"/>
          <w:szCs w:val="24"/>
        </w:rPr>
        <w:t xml:space="preserve"> </w:t>
      </w:r>
      <w:r w:rsidRPr="00B46080">
        <w:rPr>
          <w:rFonts w:ascii="Arial" w:hAnsi="Arial"/>
          <w:szCs w:val="24"/>
        </w:rPr>
        <w:t>all,</w:t>
      </w:r>
      <w:r w:rsidRPr="00B46080">
        <w:rPr>
          <w:rFonts w:ascii="Arial" w:hAnsi="Arial"/>
          <w:spacing w:val="-1"/>
          <w:szCs w:val="24"/>
        </w:rPr>
        <w:t xml:space="preserve"> </w:t>
      </w:r>
      <w:r w:rsidRPr="00B46080">
        <w:rPr>
          <w:rFonts w:ascii="Arial" w:hAnsi="Arial"/>
          <w:szCs w:val="24"/>
        </w:rPr>
        <w:t>there was no impact</w:t>
      </w:r>
      <w:r w:rsidRPr="00B46080">
        <w:rPr>
          <w:rFonts w:ascii="Arial" w:hAnsi="Arial"/>
          <w:spacing w:val="-1"/>
          <w:szCs w:val="24"/>
        </w:rPr>
        <w:t xml:space="preserve"> </w:t>
      </w:r>
      <w:r w:rsidRPr="00B46080">
        <w:rPr>
          <w:rFonts w:ascii="Arial" w:hAnsi="Arial"/>
          <w:szCs w:val="24"/>
        </w:rPr>
        <w:t>of</w:t>
      </w:r>
      <w:r w:rsidRPr="00B46080">
        <w:rPr>
          <w:rFonts w:ascii="Arial" w:hAnsi="Arial"/>
          <w:spacing w:val="-1"/>
          <w:szCs w:val="24"/>
        </w:rPr>
        <w:t xml:space="preserve"> </w:t>
      </w:r>
      <w:r w:rsidRPr="00B46080">
        <w:rPr>
          <w:rFonts w:ascii="Arial" w:hAnsi="Arial"/>
          <w:szCs w:val="24"/>
        </w:rPr>
        <w:t>the incident</w:t>
      </w:r>
      <w:r w:rsidRPr="00B46080">
        <w:rPr>
          <w:rFonts w:ascii="Arial" w:hAnsi="Arial"/>
          <w:spacing w:val="-1"/>
          <w:szCs w:val="24"/>
        </w:rPr>
        <w:t xml:space="preserve"> </w:t>
      </w:r>
      <w:r w:rsidRPr="00B46080">
        <w:rPr>
          <w:rFonts w:ascii="Arial" w:hAnsi="Arial"/>
          <w:szCs w:val="24"/>
        </w:rPr>
        <w:t>on</w:t>
      </w:r>
      <w:r w:rsidRPr="00B46080">
        <w:rPr>
          <w:rFonts w:ascii="Arial" w:hAnsi="Arial"/>
          <w:spacing w:val="-1"/>
          <w:szCs w:val="24"/>
        </w:rPr>
        <w:t xml:space="preserve"> </w:t>
      </w:r>
      <w:r w:rsidRPr="00B46080">
        <w:rPr>
          <w:rFonts w:ascii="Arial" w:hAnsi="Arial"/>
          <w:szCs w:val="24"/>
        </w:rPr>
        <w:t>the financial statements of the Bank both under Indian and US accounting standards.</w:t>
      </w:r>
    </w:p>
    <w:p w14:paraId="0A5D16D2" w14:textId="77777777" w:rsidR="00393283" w:rsidRPr="00B46080" w:rsidRDefault="00393283" w:rsidP="00B46080">
      <w:pPr>
        <w:pStyle w:val="BodyText"/>
        <w:spacing w:before="11" w:line="360" w:lineRule="auto"/>
        <w:rPr>
          <w:rFonts w:ascii="Arial"/>
          <w:szCs w:val="24"/>
        </w:rPr>
      </w:pPr>
    </w:p>
    <w:p w14:paraId="30413E99" w14:textId="77777777" w:rsidR="00393283" w:rsidRPr="00B46080" w:rsidRDefault="00000000" w:rsidP="00B46080">
      <w:pPr>
        <w:spacing w:line="360" w:lineRule="auto"/>
        <w:ind w:left="139" w:right="135"/>
        <w:jc w:val="both"/>
        <w:rPr>
          <w:rFonts w:ascii="Arial" w:hAnsi="Arial"/>
          <w:szCs w:val="24"/>
        </w:rPr>
      </w:pPr>
      <w:r w:rsidRPr="00B46080">
        <w:rPr>
          <w:rFonts w:ascii="Arial" w:hAnsi="Arial"/>
          <w:szCs w:val="24"/>
        </w:rPr>
        <w:t>The Press Release further stated that, “… there is no question of any quid pro quo / nepotism / conflict of interest as is being alleged</w:t>
      </w:r>
      <w:r w:rsidRPr="00B46080">
        <w:rPr>
          <w:rFonts w:ascii="Arial" w:hAnsi="Arial"/>
          <w:spacing w:val="-1"/>
          <w:szCs w:val="24"/>
        </w:rPr>
        <w:t xml:space="preserve"> </w:t>
      </w:r>
      <w:r w:rsidRPr="00B46080">
        <w:rPr>
          <w:rFonts w:ascii="Arial" w:hAnsi="Arial"/>
          <w:szCs w:val="24"/>
        </w:rPr>
        <w:t xml:space="preserve">in various </w:t>
      </w:r>
      <w:proofErr w:type="spellStart"/>
      <w:r w:rsidRPr="00B46080">
        <w:rPr>
          <w:rFonts w:ascii="Arial" w:hAnsi="Arial"/>
          <w:szCs w:val="24"/>
        </w:rPr>
        <w:t>rumours</w:t>
      </w:r>
      <w:proofErr w:type="spellEnd"/>
      <w:r w:rsidRPr="00B46080">
        <w:rPr>
          <w:rFonts w:ascii="Arial" w:hAnsi="Arial"/>
          <w:szCs w:val="24"/>
        </w:rPr>
        <w:t xml:space="preserve">. The board … reposes full faith in the Bank’s MD and CEO Ms. Chanda Kochhar. … We would urge you not to be misled by these </w:t>
      </w:r>
      <w:proofErr w:type="spellStart"/>
      <w:r w:rsidRPr="00B46080">
        <w:rPr>
          <w:rFonts w:ascii="Arial" w:hAnsi="Arial"/>
          <w:szCs w:val="24"/>
        </w:rPr>
        <w:t>rumours</w:t>
      </w:r>
      <w:proofErr w:type="spellEnd"/>
      <w:r w:rsidRPr="00B46080">
        <w:rPr>
          <w:rFonts w:ascii="Arial" w:hAnsi="Arial"/>
          <w:szCs w:val="24"/>
        </w:rPr>
        <w:t xml:space="preserve"> which are being spread</w:t>
      </w:r>
      <w:r w:rsidRPr="00B46080">
        <w:rPr>
          <w:rFonts w:ascii="Arial" w:hAnsi="Arial"/>
          <w:spacing w:val="40"/>
          <w:szCs w:val="24"/>
        </w:rPr>
        <w:t xml:space="preserve"> </w:t>
      </w:r>
      <w:r w:rsidRPr="00B46080">
        <w:rPr>
          <w:rFonts w:ascii="Arial" w:hAnsi="Arial"/>
          <w:szCs w:val="24"/>
        </w:rPr>
        <w:t xml:space="preserve">to malign the Bank and its top management.” The </w:t>
      </w:r>
      <w:proofErr w:type="spellStart"/>
      <w:r w:rsidRPr="00B46080">
        <w:rPr>
          <w:rFonts w:ascii="Arial" w:hAnsi="Arial"/>
          <w:szCs w:val="24"/>
        </w:rPr>
        <w:t>then</w:t>
      </w:r>
      <w:proofErr w:type="spellEnd"/>
      <w:r w:rsidRPr="00B46080">
        <w:rPr>
          <w:rFonts w:ascii="Arial" w:hAnsi="Arial"/>
          <w:szCs w:val="24"/>
        </w:rPr>
        <w:t xml:space="preserve"> non-executive Chairman, Sharma, also defended Kochhar in a televised press meet</w:t>
      </w:r>
      <w:hyperlink w:anchor="_bookmark20" w:history="1">
        <w:r w:rsidRPr="00B46080">
          <w:rPr>
            <w:rFonts w:ascii="Arial" w:hAnsi="Arial"/>
            <w:szCs w:val="24"/>
            <w:vertAlign w:val="superscript"/>
          </w:rPr>
          <w:t>22</w:t>
        </w:r>
      </w:hyperlink>
      <w:r w:rsidRPr="00B46080">
        <w:rPr>
          <w:rFonts w:ascii="Arial" w:hAnsi="Arial"/>
          <w:szCs w:val="24"/>
        </w:rPr>
        <w:t>.</w:t>
      </w:r>
    </w:p>
    <w:p w14:paraId="520B31EC" w14:textId="77777777" w:rsidR="00393283" w:rsidRPr="00B46080" w:rsidRDefault="00393283" w:rsidP="00B46080">
      <w:pPr>
        <w:pStyle w:val="BodyText"/>
        <w:spacing w:before="10" w:line="360" w:lineRule="auto"/>
        <w:rPr>
          <w:rFonts w:ascii="Arial"/>
          <w:szCs w:val="24"/>
        </w:rPr>
      </w:pPr>
    </w:p>
    <w:p w14:paraId="1287095F" w14:textId="77777777" w:rsidR="00393283" w:rsidRPr="00B46080" w:rsidRDefault="00000000" w:rsidP="00B46080">
      <w:pPr>
        <w:spacing w:line="360" w:lineRule="auto"/>
        <w:ind w:left="140"/>
        <w:jc w:val="both"/>
        <w:rPr>
          <w:rFonts w:ascii="Arial"/>
          <w:b/>
          <w:szCs w:val="24"/>
        </w:rPr>
      </w:pPr>
      <w:bookmarkStart w:id="18" w:name="Setting_up_of_Independent_Investigation_"/>
      <w:bookmarkEnd w:id="18"/>
      <w:r w:rsidRPr="00B46080">
        <w:rPr>
          <w:rFonts w:ascii="Arial"/>
          <w:b/>
          <w:szCs w:val="24"/>
        </w:rPr>
        <w:t>Setting</w:t>
      </w:r>
      <w:r w:rsidRPr="00B46080">
        <w:rPr>
          <w:rFonts w:ascii="Arial"/>
          <w:b/>
          <w:spacing w:val="-5"/>
          <w:szCs w:val="24"/>
        </w:rPr>
        <w:t xml:space="preserve"> </w:t>
      </w:r>
      <w:r w:rsidRPr="00B46080">
        <w:rPr>
          <w:rFonts w:ascii="Arial"/>
          <w:b/>
          <w:szCs w:val="24"/>
        </w:rPr>
        <w:t>up</w:t>
      </w:r>
      <w:r w:rsidRPr="00B46080">
        <w:rPr>
          <w:rFonts w:ascii="Arial"/>
          <w:b/>
          <w:spacing w:val="-5"/>
          <w:szCs w:val="24"/>
        </w:rPr>
        <w:t xml:space="preserve"> </w:t>
      </w:r>
      <w:r w:rsidRPr="00B46080">
        <w:rPr>
          <w:rFonts w:ascii="Arial"/>
          <w:b/>
          <w:szCs w:val="24"/>
        </w:rPr>
        <w:t>of</w:t>
      </w:r>
      <w:r w:rsidRPr="00B46080">
        <w:rPr>
          <w:rFonts w:ascii="Arial"/>
          <w:b/>
          <w:spacing w:val="-6"/>
          <w:szCs w:val="24"/>
        </w:rPr>
        <w:t xml:space="preserve"> </w:t>
      </w:r>
      <w:r w:rsidRPr="00B46080">
        <w:rPr>
          <w:rFonts w:ascii="Arial"/>
          <w:b/>
          <w:szCs w:val="24"/>
        </w:rPr>
        <w:t>Independent</w:t>
      </w:r>
      <w:r w:rsidRPr="00B46080">
        <w:rPr>
          <w:rFonts w:ascii="Arial"/>
          <w:b/>
          <w:spacing w:val="-4"/>
          <w:szCs w:val="24"/>
        </w:rPr>
        <w:t xml:space="preserve"> </w:t>
      </w:r>
      <w:r w:rsidRPr="00B46080">
        <w:rPr>
          <w:rFonts w:ascii="Arial"/>
          <w:b/>
          <w:szCs w:val="24"/>
        </w:rPr>
        <w:t>Investigation</w:t>
      </w:r>
      <w:r w:rsidRPr="00B46080">
        <w:rPr>
          <w:rFonts w:ascii="Arial"/>
          <w:b/>
          <w:spacing w:val="-5"/>
          <w:szCs w:val="24"/>
        </w:rPr>
        <w:t xml:space="preserve"> </w:t>
      </w:r>
      <w:r w:rsidRPr="00B46080">
        <w:rPr>
          <w:rFonts w:ascii="Arial"/>
          <w:b/>
          <w:szCs w:val="24"/>
        </w:rPr>
        <w:t>(June</w:t>
      </w:r>
      <w:r w:rsidRPr="00B46080">
        <w:rPr>
          <w:rFonts w:ascii="Arial"/>
          <w:b/>
          <w:spacing w:val="-5"/>
          <w:szCs w:val="24"/>
        </w:rPr>
        <w:t xml:space="preserve"> </w:t>
      </w:r>
      <w:r w:rsidRPr="00B46080">
        <w:rPr>
          <w:rFonts w:ascii="Arial"/>
          <w:b/>
          <w:spacing w:val="-4"/>
          <w:szCs w:val="24"/>
        </w:rPr>
        <w:t>2018)</w:t>
      </w:r>
    </w:p>
    <w:p w14:paraId="617F44CC" w14:textId="77777777" w:rsidR="00393283" w:rsidRPr="00B46080" w:rsidRDefault="00393283" w:rsidP="00B46080">
      <w:pPr>
        <w:pStyle w:val="BodyText"/>
        <w:spacing w:before="9" w:line="360" w:lineRule="auto"/>
        <w:rPr>
          <w:rFonts w:ascii="Arial"/>
          <w:b/>
          <w:szCs w:val="24"/>
        </w:rPr>
      </w:pPr>
    </w:p>
    <w:p w14:paraId="6A7F244B" w14:textId="77777777" w:rsidR="00393283" w:rsidRPr="00B46080" w:rsidRDefault="00000000" w:rsidP="00B46080">
      <w:pPr>
        <w:spacing w:line="360" w:lineRule="auto"/>
        <w:ind w:left="140" w:right="136"/>
        <w:jc w:val="both"/>
        <w:rPr>
          <w:rFonts w:ascii="Arial"/>
          <w:szCs w:val="24"/>
        </w:rPr>
      </w:pPr>
      <w:r w:rsidRPr="00B46080">
        <w:rPr>
          <w:rFonts w:ascii="Arial"/>
          <w:szCs w:val="24"/>
        </w:rPr>
        <w:t xml:space="preserve">Despite the vigorous </w:t>
      </w:r>
      <w:proofErr w:type="spellStart"/>
      <w:r w:rsidRPr="00B46080">
        <w:rPr>
          <w:rFonts w:ascii="Arial"/>
          <w:szCs w:val="24"/>
        </w:rPr>
        <w:t>defence</w:t>
      </w:r>
      <w:proofErr w:type="spellEnd"/>
      <w:r w:rsidRPr="00B46080">
        <w:rPr>
          <w:rFonts w:ascii="Arial"/>
          <w:szCs w:val="24"/>
        </w:rPr>
        <w:t xml:space="preserve"> of Kochhar by the Board, within days, several media reports (citing "a</w:t>
      </w:r>
      <w:r w:rsidRPr="00B46080">
        <w:rPr>
          <w:rFonts w:ascii="Arial"/>
          <w:spacing w:val="40"/>
          <w:szCs w:val="24"/>
        </w:rPr>
        <w:t xml:space="preserve"> </w:t>
      </w:r>
      <w:r w:rsidRPr="00B46080">
        <w:rPr>
          <w:rFonts w:ascii="Arial"/>
          <w:szCs w:val="24"/>
        </w:rPr>
        <w:t xml:space="preserve">senior official in the investigative agency, who didn't want to be identified") stated that the CBI was inquiring into the allegations about Videocon and Kochhar. The CBI began a preliminary </w:t>
      </w:r>
      <w:r w:rsidRPr="00B46080">
        <w:rPr>
          <w:rFonts w:ascii="Arial"/>
          <w:szCs w:val="24"/>
        </w:rPr>
        <w:lastRenderedPageBreak/>
        <w:t>inquiry on December 8, 2017, that was publicly disclosed only after it filed the complaint on January 22, 2019.</w:t>
      </w:r>
    </w:p>
    <w:p w14:paraId="2AA03773" w14:textId="77777777" w:rsidR="00393283" w:rsidRPr="00B46080" w:rsidRDefault="00393283" w:rsidP="00B46080">
      <w:pPr>
        <w:pStyle w:val="BodyText"/>
        <w:spacing w:before="11" w:line="360" w:lineRule="auto"/>
        <w:rPr>
          <w:rFonts w:ascii="Arial"/>
          <w:szCs w:val="24"/>
        </w:rPr>
      </w:pPr>
    </w:p>
    <w:p w14:paraId="5F7C0753" w14:textId="77777777" w:rsidR="00393283" w:rsidRPr="00B46080" w:rsidRDefault="00000000" w:rsidP="00B46080">
      <w:pPr>
        <w:spacing w:line="360" w:lineRule="auto"/>
        <w:ind w:left="140" w:right="136"/>
        <w:jc w:val="both"/>
        <w:rPr>
          <w:rFonts w:ascii="Arial"/>
          <w:szCs w:val="24"/>
        </w:rPr>
      </w:pPr>
      <w:r w:rsidRPr="00B46080">
        <w:rPr>
          <w:rFonts w:ascii="Arial"/>
          <w:szCs w:val="24"/>
        </w:rPr>
        <w:t>In response to this relentless pressure, on June 6, 2018, the Board engaged the services of Justice Srikrishna,</w:t>
      </w:r>
      <w:r w:rsidRPr="00B46080">
        <w:rPr>
          <w:rFonts w:ascii="Arial"/>
          <w:spacing w:val="-2"/>
          <w:szCs w:val="24"/>
        </w:rPr>
        <w:t xml:space="preserve"> </w:t>
      </w:r>
      <w:r w:rsidRPr="00B46080">
        <w:rPr>
          <w:rFonts w:ascii="Arial"/>
          <w:szCs w:val="24"/>
        </w:rPr>
        <w:t>a</w:t>
      </w:r>
      <w:r w:rsidRPr="00B46080">
        <w:rPr>
          <w:rFonts w:ascii="Arial"/>
          <w:spacing w:val="-2"/>
          <w:szCs w:val="24"/>
        </w:rPr>
        <w:t xml:space="preserve"> </w:t>
      </w:r>
      <w:r w:rsidRPr="00B46080">
        <w:rPr>
          <w:rFonts w:ascii="Arial"/>
          <w:szCs w:val="24"/>
        </w:rPr>
        <w:t>former</w:t>
      </w:r>
      <w:r w:rsidRPr="00B46080">
        <w:rPr>
          <w:rFonts w:ascii="Arial"/>
          <w:spacing w:val="-1"/>
          <w:szCs w:val="24"/>
        </w:rPr>
        <w:t xml:space="preserve"> </w:t>
      </w:r>
      <w:r w:rsidRPr="00B46080">
        <w:rPr>
          <w:rFonts w:ascii="Arial"/>
          <w:szCs w:val="24"/>
        </w:rPr>
        <w:t>Supreme</w:t>
      </w:r>
      <w:r w:rsidRPr="00B46080">
        <w:rPr>
          <w:rFonts w:ascii="Arial"/>
          <w:spacing w:val="-2"/>
          <w:szCs w:val="24"/>
        </w:rPr>
        <w:t xml:space="preserve"> </w:t>
      </w:r>
      <w:r w:rsidRPr="00B46080">
        <w:rPr>
          <w:rFonts w:ascii="Arial"/>
          <w:szCs w:val="24"/>
        </w:rPr>
        <w:t>Court</w:t>
      </w:r>
      <w:r w:rsidRPr="00B46080">
        <w:rPr>
          <w:rFonts w:ascii="Arial"/>
          <w:spacing w:val="-2"/>
          <w:szCs w:val="24"/>
        </w:rPr>
        <w:t xml:space="preserve"> </w:t>
      </w:r>
      <w:r w:rsidRPr="00B46080">
        <w:rPr>
          <w:rFonts w:ascii="Arial"/>
          <w:szCs w:val="24"/>
        </w:rPr>
        <w:t>judge,</w:t>
      </w:r>
      <w:r w:rsidRPr="00B46080">
        <w:rPr>
          <w:rFonts w:ascii="Arial"/>
          <w:spacing w:val="-2"/>
          <w:szCs w:val="24"/>
        </w:rPr>
        <w:t xml:space="preserve"> </w:t>
      </w:r>
      <w:r w:rsidRPr="00B46080">
        <w:rPr>
          <w:rFonts w:ascii="Arial"/>
          <w:szCs w:val="24"/>
        </w:rPr>
        <w:t>to</w:t>
      </w:r>
      <w:r w:rsidRPr="00B46080">
        <w:rPr>
          <w:rFonts w:ascii="Arial"/>
          <w:spacing w:val="-2"/>
          <w:szCs w:val="24"/>
        </w:rPr>
        <w:t xml:space="preserve"> </w:t>
      </w:r>
      <w:r w:rsidRPr="00B46080">
        <w:rPr>
          <w:rFonts w:ascii="Arial"/>
          <w:szCs w:val="24"/>
        </w:rPr>
        <w:t>carry</w:t>
      </w:r>
      <w:r w:rsidRPr="00B46080">
        <w:rPr>
          <w:rFonts w:ascii="Arial"/>
          <w:spacing w:val="-1"/>
          <w:szCs w:val="24"/>
        </w:rPr>
        <w:t xml:space="preserve"> </w:t>
      </w:r>
      <w:r w:rsidRPr="00B46080">
        <w:rPr>
          <w:rFonts w:ascii="Arial"/>
          <w:szCs w:val="24"/>
        </w:rPr>
        <w:t>out</w:t>
      </w:r>
      <w:r w:rsidRPr="00B46080">
        <w:rPr>
          <w:rFonts w:ascii="Arial"/>
          <w:spacing w:val="-2"/>
          <w:szCs w:val="24"/>
        </w:rPr>
        <w:t xml:space="preserve"> </w:t>
      </w:r>
      <w:r w:rsidRPr="00B46080">
        <w:rPr>
          <w:rFonts w:ascii="Arial"/>
          <w:szCs w:val="24"/>
        </w:rPr>
        <w:t>a</w:t>
      </w:r>
      <w:r w:rsidRPr="00B46080">
        <w:rPr>
          <w:rFonts w:ascii="Arial"/>
          <w:spacing w:val="-2"/>
          <w:szCs w:val="24"/>
        </w:rPr>
        <w:t xml:space="preserve"> </w:t>
      </w:r>
      <w:r w:rsidRPr="00B46080">
        <w:rPr>
          <w:rFonts w:ascii="Arial"/>
          <w:szCs w:val="24"/>
        </w:rPr>
        <w:t>comprehensive</w:t>
      </w:r>
      <w:r w:rsidRPr="00B46080">
        <w:rPr>
          <w:rFonts w:ascii="Arial"/>
          <w:spacing w:val="-2"/>
          <w:szCs w:val="24"/>
        </w:rPr>
        <w:t xml:space="preserve"> </w:t>
      </w:r>
      <w:r w:rsidRPr="00B46080">
        <w:rPr>
          <w:rFonts w:ascii="Arial"/>
          <w:szCs w:val="24"/>
        </w:rPr>
        <w:t>investigation</w:t>
      </w:r>
      <w:r w:rsidRPr="00B46080">
        <w:rPr>
          <w:rFonts w:ascii="Arial"/>
          <w:spacing w:val="-2"/>
          <w:szCs w:val="24"/>
        </w:rPr>
        <w:t xml:space="preserve"> </w:t>
      </w:r>
      <w:r w:rsidRPr="00B46080">
        <w:rPr>
          <w:rFonts w:ascii="Arial"/>
          <w:szCs w:val="24"/>
        </w:rPr>
        <w:t>into</w:t>
      </w:r>
      <w:r w:rsidRPr="00B46080">
        <w:rPr>
          <w:rFonts w:ascii="Arial"/>
          <w:spacing w:val="-2"/>
          <w:szCs w:val="24"/>
        </w:rPr>
        <w:t xml:space="preserve"> </w:t>
      </w:r>
      <w:r w:rsidRPr="00B46080">
        <w:rPr>
          <w:rFonts w:ascii="Arial"/>
          <w:szCs w:val="24"/>
        </w:rPr>
        <w:t>the</w:t>
      </w:r>
      <w:r w:rsidRPr="00B46080">
        <w:rPr>
          <w:rFonts w:ascii="Arial"/>
          <w:spacing w:val="-2"/>
          <w:szCs w:val="24"/>
        </w:rPr>
        <w:t xml:space="preserve"> </w:t>
      </w:r>
      <w:r w:rsidRPr="00B46080">
        <w:rPr>
          <w:rFonts w:ascii="Arial"/>
          <w:szCs w:val="24"/>
        </w:rPr>
        <w:t>allegations.</w:t>
      </w:r>
    </w:p>
    <w:p w14:paraId="3431DF1C" w14:textId="77777777" w:rsidR="00393283" w:rsidRPr="00B46080" w:rsidRDefault="00393283" w:rsidP="00B46080">
      <w:pPr>
        <w:pStyle w:val="BodyText"/>
        <w:spacing w:before="9" w:line="360" w:lineRule="auto"/>
        <w:rPr>
          <w:rFonts w:ascii="Arial"/>
          <w:szCs w:val="24"/>
        </w:rPr>
      </w:pPr>
    </w:p>
    <w:p w14:paraId="7848F47C" w14:textId="77777777" w:rsidR="00393283" w:rsidRPr="00B46080" w:rsidRDefault="00000000" w:rsidP="00B46080">
      <w:pPr>
        <w:spacing w:line="360" w:lineRule="auto"/>
        <w:ind w:left="140"/>
        <w:jc w:val="both"/>
        <w:rPr>
          <w:rFonts w:ascii="Arial"/>
          <w:b/>
          <w:szCs w:val="24"/>
        </w:rPr>
      </w:pPr>
      <w:bookmarkStart w:id="19" w:name="Kochhar_Resignation_(October_2018)_"/>
      <w:bookmarkEnd w:id="19"/>
      <w:r w:rsidRPr="00B46080">
        <w:rPr>
          <w:rFonts w:ascii="Arial"/>
          <w:b/>
          <w:szCs w:val="24"/>
        </w:rPr>
        <w:t>Kochhar</w:t>
      </w:r>
      <w:r w:rsidRPr="00B46080">
        <w:rPr>
          <w:rFonts w:ascii="Arial"/>
          <w:b/>
          <w:spacing w:val="-7"/>
          <w:szCs w:val="24"/>
        </w:rPr>
        <w:t xml:space="preserve"> </w:t>
      </w:r>
      <w:r w:rsidRPr="00B46080">
        <w:rPr>
          <w:rFonts w:ascii="Arial"/>
          <w:b/>
          <w:szCs w:val="24"/>
        </w:rPr>
        <w:t>Resignation</w:t>
      </w:r>
      <w:r w:rsidRPr="00B46080">
        <w:rPr>
          <w:rFonts w:ascii="Arial"/>
          <w:b/>
          <w:spacing w:val="-6"/>
          <w:szCs w:val="24"/>
        </w:rPr>
        <w:t xml:space="preserve"> </w:t>
      </w:r>
      <w:r w:rsidRPr="00B46080">
        <w:rPr>
          <w:rFonts w:ascii="Arial"/>
          <w:b/>
          <w:szCs w:val="24"/>
        </w:rPr>
        <w:t>(October</w:t>
      </w:r>
      <w:r w:rsidRPr="00B46080">
        <w:rPr>
          <w:rFonts w:ascii="Arial"/>
          <w:b/>
          <w:spacing w:val="-6"/>
          <w:szCs w:val="24"/>
        </w:rPr>
        <w:t xml:space="preserve"> </w:t>
      </w:r>
      <w:r w:rsidRPr="00B46080">
        <w:rPr>
          <w:rFonts w:ascii="Arial"/>
          <w:b/>
          <w:spacing w:val="-4"/>
          <w:szCs w:val="24"/>
        </w:rPr>
        <w:t>2018)</w:t>
      </w:r>
    </w:p>
    <w:p w14:paraId="21D8258C" w14:textId="77777777" w:rsidR="00393283" w:rsidRPr="00B46080" w:rsidRDefault="00393283" w:rsidP="00B46080">
      <w:pPr>
        <w:pStyle w:val="BodyText"/>
        <w:spacing w:before="9" w:line="360" w:lineRule="auto"/>
        <w:rPr>
          <w:rFonts w:ascii="Arial"/>
          <w:b/>
          <w:szCs w:val="24"/>
        </w:rPr>
      </w:pPr>
    </w:p>
    <w:p w14:paraId="7C251FEE" w14:textId="77777777" w:rsidR="00393283" w:rsidRPr="00B46080" w:rsidRDefault="00000000" w:rsidP="00B46080">
      <w:pPr>
        <w:spacing w:before="1" w:line="360" w:lineRule="auto"/>
        <w:ind w:left="140" w:right="136"/>
        <w:jc w:val="both"/>
        <w:rPr>
          <w:rFonts w:ascii="Arial"/>
          <w:szCs w:val="24"/>
        </w:rPr>
      </w:pPr>
      <w:r w:rsidRPr="00B46080">
        <w:rPr>
          <w:rFonts w:ascii="Arial"/>
          <w:szCs w:val="24"/>
        </w:rPr>
        <w:t>Following the setting up of the inquiry, Kochhar proceeded on leave from the Bank on June 18, 2018. In the face of continuing negative publicity, Kochhar sought an early retirement from the Bank and resigned from her position on October 3, 2018. Her resignation was accepted by the Bank the very next day.</w:t>
      </w:r>
    </w:p>
    <w:p w14:paraId="3746F6E1" w14:textId="77777777" w:rsidR="00393283" w:rsidRPr="00B46080" w:rsidRDefault="00393283" w:rsidP="00B46080">
      <w:pPr>
        <w:pStyle w:val="BodyText"/>
        <w:spacing w:before="11" w:line="360" w:lineRule="auto"/>
        <w:rPr>
          <w:rFonts w:ascii="Arial"/>
          <w:szCs w:val="24"/>
        </w:rPr>
      </w:pPr>
    </w:p>
    <w:p w14:paraId="3879F4AC" w14:textId="77777777" w:rsidR="00393283" w:rsidRPr="00B46080" w:rsidRDefault="00000000" w:rsidP="00B46080">
      <w:pPr>
        <w:spacing w:line="360" w:lineRule="auto"/>
        <w:ind w:left="140"/>
        <w:jc w:val="both"/>
        <w:rPr>
          <w:rFonts w:ascii="Arial"/>
          <w:b/>
          <w:szCs w:val="24"/>
        </w:rPr>
      </w:pPr>
      <w:bookmarkStart w:id="20" w:name="Findings_of_Justice_Srikrishna_(January_"/>
      <w:bookmarkEnd w:id="20"/>
      <w:r w:rsidRPr="00B46080">
        <w:rPr>
          <w:rFonts w:ascii="Arial"/>
          <w:b/>
          <w:szCs w:val="24"/>
        </w:rPr>
        <w:t>Findings</w:t>
      </w:r>
      <w:r w:rsidRPr="00B46080">
        <w:rPr>
          <w:rFonts w:ascii="Arial"/>
          <w:b/>
          <w:spacing w:val="-6"/>
          <w:szCs w:val="24"/>
        </w:rPr>
        <w:t xml:space="preserve"> </w:t>
      </w:r>
      <w:r w:rsidRPr="00B46080">
        <w:rPr>
          <w:rFonts w:ascii="Arial"/>
          <w:b/>
          <w:szCs w:val="24"/>
        </w:rPr>
        <w:t>of</w:t>
      </w:r>
      <w:r w:rsidRPr="00B46080">
        <w:rPr>
          <w:rFonts w:ascii="Arial"/>
          <w:b/>
          <w:spacing w:val="-5"/>
          <w:szCs w:val="24"/>
        </w:rPr>
        <w:t xml:space="preserve"> </w:t>
      </w:r>
      <w:r w:rsidRPr="00B46080">
        <w:rPr>
          <w:rFonts w:ascii="Arial"/>
          <w:b/>
          <w:szCs w:val="24"/>
        </w:rPr>
        <w:t>Justice</w:t>
      </w:r>
      <w:r w:rsidRPr="00B46080">
        <w:rPr>
          <w:rFonts w:ascii="Arial"/>
          <w:b/>
          <w:spacing w:val="-5"/>
          <w:szCs w:val="24"/>
        </w:rPr>
        <w:t xml:space="preserve"> </w:t>
      </w:r>
      <w:r w:rsidRPr="00B46080">
        <w:rPr>
          <w:rFonts w:ascii="Arial"/>
          <w:b/>
          <w:szCs w:val="24"/>
        </w:rPr>
        <w:t>Srikrishna</w:t>
      </w:r>
      <w:r w:rsidRPr="00B46080">
        <w:rPr>
          <w:rFonts w:ascii="Arial"/>
          <w:b/>
          <w:spacing w:val="-5"/>
          <w:szCs w:val="24"/>
        </w:rPr>
        <w:t xml:space="preserve"> </w:t>
      </w:r>
      <w:r w:rsidRPr="00B46080">
        <w:rPr>
          <w:rFonts w:ascii="Arial"/>
          <w:b/>
          <w:szCs w:val="24"/>
        </w:rPr>
        <w:t>(January</w:t>
      </w:r>
      <w:r w:rsidRPr="00B46080">
        <w:rPr>
          <w:rFonts w:ascii="Arial"/>
          <w:b/>
          <w:spacing w:val="-5"/>
          <w:szCs w:val="24"/>
        </w:rPr>
        <w:t xml:space="preserve"> </w:t>
      </w:r>
      <w:r w:rsidRPr="00B46080">
        <w:rPr>
          <w:rFonts w:ascii="Arial"/>
          <w:b/>
          <w:spacing w:val="-2"/>
          <w:szCs w:val="24"/>
        </w:rPr>
        <w:t>2019)</w:t>
      </w:r>
    </w:p>
    <w:p w14:paraId="39AC49A5" w14:textId="77777777" w:rsidR="00393283" w:rsidRPr="00B46080" w:rsidRDefault="00393283" w:rsidP="00B46080">
      <w:pPr>
        <w:pStyle w:val="BodyText"/>
        <w:spacing w:before="9" w:line="360" w:lineRule="auto"/>
        <w:rPr>
          <w:rFonts w:ascii="Arial"/>
          <w:b/>
          <w:szCs w:val="24"/>
        </w:rPr>
      </w:pPr>
    </w:p>
    <w:p w14:paraId="21920CA5" w14:textId="77777777" w:rsidR="00393283" w:rsidRPr="00B46080" w:rsidRDefault="00000000" w:rsidP="00B46080">
      <w:pPr>
        <w:spacing w:line="360" w:lineRule="auto"/>
        <w:ind w:left="140" w:right="136"/>
        <w:jc w:val="both"/>
        <w:rPr>
          <w:rFonts w:ascii="Arial"/>
          <w:szCs w:val="24"/>
        </w:rPr>
      </w:pPr>
      <w:r w:rsidRPr="00B46080">
        <w:rPr>
          <w:rFonts w:ascii="Arial"/>
          <w:szCs w:val="24"/>
        </w:rPr>
        <w:t>The Srikrishna report noted that Kochhar had failed to disclose the financial and business ties between Videocon group companies and companies promoted by her husband, Deepak Kochhar, while participating</w:t>
      </w:r>
      <w:r w:rsidRPr="00B46080">
        <w:rPr>
          <w:rFonts w:ascii="Arial"/>
          <w:spacing w:val="13"/>
          <w:szCs w:val="24"/>
        </w:rPr>
        <w:t xml:space="preserve"> </w:t>
      </w:r>
      <w:r w:rsidRPr="00B46080">
        <w:rPr>
          <w:rFonts w:ascii="Arial"/>
          <w:szCs w:val="24"/>
        </w:rPr>
        <w:t>in</w:t>
      </w:r>
      <w:r w:rsidRPr="00B46080">
        <w:rPr>
          <w:rFonts w:ascii="Arial"/>
          <w:spacing w:val="13"/>
          <w:szCs w:val="24"/>
        </w:rPr>
        <w:t xml:space="preserve"> </w:t>
      </w:r>
      <w:r w:rsidRPr="00B46080">
        <w:rPr>
          <w:rFonts w:ascii="Arial"/>
          <w:szCs w:val="24"/>
        </w:rPr>
        <w:t>the</w:t>
      </w:r>
      <w:r w:rsidRPr="00B46080">
        <w:rPr>
          <w:rFonts w:ascii="Arial"/>
          <w:spacing w:val="13"/>
          <w:szCs w:val="24"/>
        </w:rPr>
        <w:t xml:space="preserve"> </w:t>
      </w:r>
      <w:r w:rsidRPr="00B46080">
        <w:rPr>
          <w:rFonts w:ascii="Arial"/>
          <w:szCs w:val="24"/>
        </w:rPr>
        <w:t>meeting</w:t>
      </w:r>
      <w:r w:rsidRPr="00B46080">
        <w:rPr>
          <w:rFonts w:ascii="Arial"/>
          <w:spacing w:val="13"/>
          <w:szCs w:val="24"/>
        </w:rPr>
        <w:t xml:space="preserve"> </w:t>
      </w:r>
      <w:r w:rsidRPr="00B46080">
        <w:rPr>
          <w:rFonts w:ascii="Arial"/>
          <w:szCs w:val="24"/>
        </w:rPr>
        <w:t>as a</w:t>
      </w:r>
      <w:r w:rsidRPr="00B46080">
        <w:rPr>
          <w:rFonts w:ascii="Arial"/>
          <w:spacing w:val="13"/>
          <w:szCs w:val="24"/>
        </w:rPr>
        <w:t xml:space="preserve"> </w:t>
      </w:r>
      <w:r w:rsidRPr="00B46080">
        <w:rPr>
          <w:rFonts w:ascii="Arial"/>
          <w:szCs w:val="24"/>
        </w:rPr>
        <w:t>member</w:t>
      </w:r>
      <w:r w:rsidRPr="00B46080">
        <w:rPr>
          <w:rFonts w:ascii="Arial"/>
          <w:spacing w:val="13"/>
          <w:szCs w:val="24"/>
        </w:rPr>
        <w:t xml:space="preserve"> </w:t>
      </w:r>
      <w:r w:rsidRPr="00B46080">
        <w:rPr>
          <w:rFonts w:ascii="Arial"/>
          <w:szCs w:val="24"/>
        </w:rPr>
        <w:t>of the Credit Committee</w:t>
      </w:r>
      <w:r w:rsidRPr="00B46080">
        <w:rPr>
          <w:rFonts w:ascii="Arial"/>
          <w:spacing w:val="13"/>
          <w:szCs w:val="24"/>
        </w:rPr>
        <w:t xml:space="preserve"> </w:t>
      </w:r>
      <w:r w:rsidRPr="00B46080">
        <w:rPr>
          <w:rFonts w:ascii="Arial"/>
          <w:szCs w:val="24"/>
        </w:rPr>
        <w:t>that granted</w:t>
      </w:r>
      <w:r w:rsidRPr="00B46080">
        <w:rPr>
          <w:rFonts w:ascii="Arial"/>
          <w:spacing w:val="13"/>
          <w:szCs w:val="24"/>
        </w:rPr>
        <w:t xml:space="preserve"> </w:t>
      </w:r>
      <w:r w:rsidRPr="00B46080">
        <w:rPr>
          <w:rFonts w:ascii="Arial"/>
          <w:szCs w:val="24"/>
        </w:rPr>
        <w:t>loans</w:t>
      </w:r>
      <w:r w:rsidRPr="00B46080">
        <w:rPr>
          <w:rFonts w:ascii="Arial"/>
          <w:spacing w:val="13"/>
          <w:szCs w:val="24"/>
        </w:rPr>
        <w:t xml:space="preserve"> </w:t>
      </w:r>
      <w:r w:rsidRPr="00B46080">
        <w:rPr>
          <w:rFonts w:ascii="Arial"/>
          <w:szCs w:val="24"/>
        </w:rPr>
        <w:t>to</w:t>
      </w:r>
      <w:r w:rsidRPr="00B46080">
        <w:rPr>
          <w:rFonts w:ascii="Arial"/>
          <w:spacing w:val="13"/>
          <w:szCs w:val="24"/>
        </w:rPr>
        <w:t xml:space="preserve"> </w:t>
      </w:r>
      <w:r w:rsidRPr="00B46080">
        <w:rPr>
          <w:rFonts w:ascii="Arial"/>
          <w:szCs w:val="24"/>
        </w:rPr>
        <w:t xml:space="preserve">Videocon </w:t>
      </w:r>
      <w:proofErr w:type="gramStart"/>
      <w:r w:rsidRPr="00B46080">
        <w:rPr>
          <w:rFonts w:ascii="Arial"/>
          <w:szCs w:val="24"/>
        </w:rPr>
        <w:t>group</w:t>
      </w:r>
      <w:proofErr w:type="gramEnd"/>
    </w:p>
    <w:p w14:paraId="7AFBD747" w14:textId="77777777" w:rsidR="00393283" w:rsidRPr="00B46080" w:rsidRDefault="00000000" w:rsidP="00B46080">
      <w:pPr>
        <w:pStyle w:val="BodyText"/>
        <w:spacing w:before="56" w:line="360" w:lineRule="auto"/>
        <w:rPr>
          <w:rFonts w:ascii="Arial"/>
          <w:szCs w:val="24"/>
        </w:rPr>
      </w:pPr>
      <w:r w:rsidRPr="00B46080">
        <w:rPr>
          <w:noProof/>
          <w:sz w:val="24"/>
          <w:szCs w:val="24"/>
        </w:rPr>
        <mc:AlternateContent>
          <mc:Choice Requires="wps">
            <w:drawing>
              <wp:anchor distT="0" distB="0" distL="0" distR="0" simplePos="0" relativeHeight="487595520" behindDoc="1" locked="0" layoutInCell="1" allowOverlap="1" wp14:anchorId="723EDAF0" wp14:editId="70622797">
                <wp:simplePos x="0" y="0"/>
                <wp:positionH relativeFrom="page">
                  <wp:posOffset>914400</wp:posOffset>
                </wp:positionH>
                <wp:positionV relativeFrom="paragraph">
                  <wp:posOffset>197228</wp:posOffset>
                </wp:positionV>
                <wp:extent cx="1828800" cy="7620"/>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7620"/>
                        </a:xfrm>
                        <a:custGeom>
                          <a:avLst/>
                          <a:gdLst/>
                          <a:ahLst/>
                          <a:cxnLst/>
                          <a:rect l="l" t="t" r="r" b="b"/>
                          <a:pathLst>
                            <a:path w="1828800" h="7620">
                              <a:moveTo>
                                <a:pt x="1828800" y="0"/>
                              </a:moveTo>
                              <a:lnTo>
                                <a:pt x="0" y="0"/>
                              </a:lnTo>
                              <a:lnTo>
                                <a:pt x="0" y="7619"/>
                              </a:lnTo>
                              <a:lnTo>
                                <a:pt x="1828800" y="7619"/>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4373A12" id="Graphic 25" o:spid="_x0000_s1026" style="position:absolute;margin-left:1in;margin-top:15.55pt;width:2in;height:.6pt;z-index:-15720960;visibility:visible;mso-wrap-style:square;mso-wrap-distance-left:0;mso-wrap-distance-top:0;mso-wrap-distance-right:0;mso-wrap-distance-bottom:0;mso-position-horizontal:absolute;mso-position-horizontal-relative:page;mso-position-vertical:absolute;mso-position-vertical-relative:text;v-text-anchor:top" coordsize="182880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" path="m1828800,l,,,7619r1828800,l1828800,xe" fillcolor="black" stroked="f">
                <v:path arrowok="t"/>
                <w10:wrap type="topAndBottom" anchorx="page"/>
              </v:shape>
            </w:pict>
          </mc:Fallback>
        </mc:AlternateContent>
      </w:r>
    </w:p>
    <w:p w14:paraId="57F136BB" w14:textId="77777777" w:rsidR="00393283" w:rsidRPr="00B46080" w:rsidRDefault="00393283" w:rsidP="00B46080">
      <w:pPr>
        <w:spacing w:line="360" w:lineRule="auto"/>
        <w:rPr>
          <w:sz w:val="20"/>
          <w:szCs w:val="24"/>
        </w:rPr>
        <w:sectPr w:rsidR="00393283" w:rsidRPr="00B46080">
          <w:pgSz w:w="12240" w:h="15840"/>
          <w:pgMar w:top="1240" w:right="1300" w:bottom="700" w:left="1300" w:header="916" w:footer="501" w:gutter="0"/>
          <w:cols w:space="720"/>
        </w:sectPr>
      </w:pPr>
      <w:bookmarkStart w:id="21" w:name="_bookmark19"/>
      <w:bookmarkEnd w:id="21"/>
    </w:p>
    <w:p w14:paraId="5BCD9812" w14:textId="485E29DB" w:rsidR="00393283" w:rsidRPr="00B46080" w:rsidRDefault="00000000" w:rsidP="00B46080">
      <w:pPr>
        <w:spacing w:before="193" w:line="360" w:lineRule="auto"/>
        <w:ind w:left="139" w:right="135"/>
        <w:jc w:val="both"/>
        <w:rPr>
          <w:rFonts w:ascii="Arial" w:hAnsi="Arial"/>
          <w:szCs w:val="24"/>
        </w:rPr>
      </w:pPr>
      <w:bookmarkStart w:id="22" w:name="_bookmark21"/>
      <w:bookmarkEnd w:id="22"/>
      <w:r w:rsidRPr="00B46080">
        <w:rPr>
          <w:rFonts w:ascii="Arial" w:hAnsi="Arial"/>
          <w:szCs w:val="24"/>
        </w:rPr>
        <w:lastRenderedPageBreak/>
        <w:t>companies. Noting that the Bank’s processes “were dependent solely on directors discharging their fiduciary duty to recuse themselves to avoid conflict”, the report concluded that “Ms. Chanda Kochhar</w:t>
      </w:r>
      <w:r w:rsidRPr="00B46080">
        <w:rPr>
          <w:rFonts w:ascii="Arial" w:hAnsi="Arial"/>
          <w:spacing w:val="80"/>
          <w:szCs w:val="24"/>
        </w:rPr>
        <w:t xml:space="preserve"> </w:t>
      </w:r>
      <w:r w:rsidRPr="00B46080">
        <w:rPr>
          <w:rFonts w:ascii="Arial" w:hAnsi="Arial"/>
          <w:szCs w:val="24"/>
        </w:rPr>
        <w:t xml:space="preserve">was in violation of the ICICI Bank Code of Conduct, its framework for dealing with conflict of interest and fiduciary duties.” Kochhar’s lack of diligence with respect to annual disclosures as required by the Bank implied that the Bank’s processes were rendered ineffective by her approach to such disclosures and avoidance of conflict. Kochhar’s </w:t>
      </w:r>
      <w:proofErr w:type="spellStart"/>
      <w:r w:rsidRPr="00B46080">
        <w:rPr>
          <w:rFonts w:ascii="Arial" w:hAnsi="Arial"/>
          <w:szCs w:val="24"/>
        </w:rPr>
        <w:t>defence</w:t>
      </w:r>
      <w:proofErr w:type="spellEnd"/>
      <w:r w:rsidRPr="00B46080">
        <w:rPr>
          <w:rFonts w:ascii="Arial" w:hAnsi="Arial"/>
          <w:szCs w:val="24"/>
        </w:rPr>
        <w:t xml:space="preserve"> strategy as articulated by her lawyer was that: a) she was not aware of her husband’s business dealings, and b) there was no obligation on her part to ask her husband about all his commercial relationships.</w:t>
      </w:r>
    </w:p>
    <w:p w14:paraId="794FD934" w14:textId="77777777" w:rsidR="00393283" w:rsidRPr="00B46080" w:rsidRDefault="00393283" w:rsidP="00B46080">
      <w:pPr>
        <w:pStyle w:val="BodyText"/>
        <w:spacing w:before="9" w:line="360" w:lineRule="auto"/>
        <w:rPr>
          <w:rFonts w:ascii="Arial"/>
          <w:szCs w:val="24"/>
        </w:rPr>
      </w:pPr>
    </w:p>
    <w:p w14:paraId="074CAAF6" w14:textId="77777777" w:rsidR="00393283" w:rsidRPr="00B46080" w:rsidRDefault="00000000" w:rsidP="00B46080">
      <w:pPr>
        <w:spacing w:before="1" w:line="360" w:lineRule="auto"/>
        <w:ind w:left="139"/>
        <w:jc w:val="both"/>
        <w:rPr>
          <w:rFonts w:ascii="Arial"/>
          <w:b/>
          <w:szCs w:val="24"/>
        </w:rPr>
      </w:pPr>
      <w:bookmarkStart w:id="23" w:name="CBI_Complaint_(January_2019)_"/>
      <w:bookmarkEnd w:id="23"/>
      <w:r w:rsidRPr="00B46080">
        <w:rPr>
          <w:rFonts w:ascii="Arial"/>
          <w:b/>
          <w:szCs w:val="24"/>
        </w:rPr>
        <w:t>CBI</w:t>
      </w:r>
      <w:r w:rsidRPr="00B46080">
        <w:rPr>
          <w:rFonts w:ascii="Arial"/>
          <w:b/>
          <w:spacing w:val="-5"/>
          <w:szCs w:val="24"/>
        </w:rPr>
        <w:t xml:space="preserve"> </w:t>
      </w:r>
      <w:r w:rsidRPr="00B46080">
        <w:rPr>
          <w:rFonts w:ascii="Arial"/>
          <w:b/>
          <w:szCs w:val="24"/>
        </w:rPr>
        <w:t>Complaint</w:t>
      </w:r>
      <w:r w:rsidRPr="00B46080">
        <w:rPr>
          <w:rFonts w:ascii="Arial"/>
          <w:b/>
          <w:spacing w:val="-4"/>
          <w:szCs w:val="24"/>
        </w:rPr>
        <w:t xml:space="preserve"> </w:t>
      </w:r>
      <w:r w:rsidRPr="00B46080">
        <w:rPr>
          <w:rFonts w:ascii="Arial"/>
          <w:b/>
          <w:szCs w:val="24"/>
        </w:rPr>
        <w:t>(January</w:t>
      </w:r>
      <w:r w:rsidRPr="00B46080">
        <w:rPr>
          <w:rFonts w:ascii="Arial"/>
          <w:b/>
          <w:spacing w:val="-4"/>
          <w:szCs w:val="24"/>
        </w:rPr>
        <w:t xml:space="preserve"> </w:t>
      </w:r>
      <w:r w:rsidRPr="00B46080">
        <w:rPr>
          <w:rFonts w:ascii="Arial"/>
          <w:b/>
          <w:spacing w:val="-2"/>
          <w:szCs w:val="24"/>
        </w:rPr>
        <w:t>2019)</w:t>
      </w:r>
    </w:p>
    <w:p w14:paraId="234757A4" w14:textId="77777777" w:rsidR="00393283" w:rsidRPr="00B46080" w:rsidRDefault="00393283" w:rsidP="00B46080">
      <w:pPr>
        <w:pStyle w:val="BodyText"/>
        <w:spacing w:before="10" w:line="360" w:lineRule="auto"/>
        <w:rPr>
          <w:rFonts w:ascii="Arial"/>
          <w:b/>
          <w:szCs w:val="24"/>
        </w:rPr>
      </w:pPr>
    </w:p>
    <w:p w14:paraId="02F9F1DE" w14:textId="77777777" w:rsidR="00393283" w:rsidRPr="00B46080" w:rsidRDefault="00000000" w:rsidP="00B46080">
      <w:pPr>
        <w:spacing w:line="360" w:lineRule="auto"/>
        <w:ind w:left="139" w:right="135"/>
        <w:jc w:val="both"/>
        <w:rPr>
          <w:rFonts w:ascii="Arial" w:hAnsi="Arial"/>
          <w:szCs w:val="24"/>
        </w:rPr>
      </w:pPr>
      <w:r w:rsidRPr="00B46080">
        <w:rPr>
          <w:rFonts w:ascii="Arial" w:hAnsi="Arial"/>
          <w:szCs w:val="24"/>
        </w:rPr>
        <w:t xml:space="preserve">The CBI launched a preliminary inquiry on December 8, </w:t>
      </w:r>
      <w:proofErr w:type="gramStart"/>
      <w:r w:rsidRPr="00B46080">
        <w:rPr>
          <w:rFonts w:ascii="Arial" w:hAnsi="Arial"/>
          <w:szCs w:val="24"/>
        </w:rPr>
        <w:t>2017</w:t>
      </w:r>
      <w:proofErr w:type="gramEnd"/>
      <w:r w:rsidRPr="00B46080">
        <w:rPr>
          <w:rFonts w:ascii="Arial" w:hAnsi="Arial"/>
          <w:szCs w:val="24"/>
        </w:rPr>
        <w:t xml:space="preserve"> and filed the FIR on January 22, 2019. While the Srikrishna Report sidestepped the issue of whether the loan to Videocon was inappropriately granted, the CBI complaint focused entirely on that issue pointing out that the day after the loan was disbursed, Videocon invested INR 640 million in a company managed by Kochhar’s husband and then transferred this shareholding to Kochhar’s husband through a circuitous route over the next three years. As these were also the issues identified by the whistleblower, there was no new information that the</w:t>
      </w:r>
      <w:r w:rsidRPr="00B46080">
        <w:rPr>
          <w:rFonts w:ascii="Arial" w:hAnsi="Arial"/>
          <w:spacing w:val="40"/>
          <w:szCs w:val="24"/>
        </w:rPr>
        <w:t xml:space="preserve"> </w:t>
      </w:r>
      <w:r w:rsidRPr="00B46080">
        <w:rPr>
          <w:rFonts w:ascii="Arial" w:hAnsi="Arial"/>
          <w:szCs w:val="24"/>
        </w:rPr>
        <w:t>Board did not have in 2018.</w:t>
      </w:r>
    </w:p>
    <w:sectPr w:rsidR="00393283" w:rsidRPr="00B46080">
      <w:pgSz w:w="12240" w:h="15840"/>
      <w:pgMar w:top="1240" w:right="1300" w:bottom="700" w:left="1300" w:header="916" w:footer="5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8E4C62" w14:textId="77777777" w:rsidR="0074433B" w:rsidRDefault="0074433B">
      <w:r>
        <w:separator/>
      </w:r>
    </w:p>
  </w:endnote>
  <w:endnote w:type="continuationSeparator" w:id="0">
    <w:p w14:paraId="21391E03" w14:textId="77777777" w:rsidR="0074433B" w:rsidRDefault="007443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Palladio Uralic">
    <w:altName w:val="Calibri"/>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AB40ED" w14:textId="080E7FED" w:rsidR="00393283" w:rsidRDefault="00393283">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4C9898" w14:textId="69893F07" w:rsidR="00393283" w:rsidRDefault="00393283">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9882C4" w14:textId="77777777" w:rsidR="0074433B" w:rsidRDefault="0074433B">
      <w:r>
        <w:separator/>
      </w:r>
    </w:p>
  </w:footnote>
  <w:footnote w:type="continuationSeparator" w:id="0">
    <w:p w14:paraId="2CE08428" w14:textId="77777777" w:rsidR="0074433B" w:rsidRDefault="007443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1D75CC" w14:textId="598AA317" w:rsidR="00393283" w:rsidRDefault="00000000">
    <w:pPr>
      <w:pStyle w:val="BodyText"/>
      <w:spacing w:line="14" w:lineRule="auto"/>
      <w:rPr>
        <w:sz w:val="20"/>
      </w:rPr>
    </w:pPr>
    <w:r>
      <w:rPr>
        <w:noProof/>
      </w:rPr>
      <mc:AlternateContent>
        <mc:Choice Requires="wps">
          <w:drawing>
            <wp:anchor distT="0" distB="0" distL="0" distR="0" simplePos="0" relativeHeight="487403008" behindDoc="1" locked="0" layoutInCell="1" allowOverlap="1" wp14:anchorId="7C942BA0" wp14:editId="6991678E">
              <wp:simplePos x="0" y="0"/>
              <wp:positionH relativeFrom="page">
                <wp:posOffset>876300</wp:posOffset>
              </wp:positionH>
              <wp:positionV relativeFrom="page">
                <wp:posOffset>568959</wp:posOffset>
              </wp:positionV>
              <wp:extent cx="414020" cy="209550"/>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4020" cy="209550"/>
                      </a:xfrm>
                      <a:prstGeom prst="rect">
                        <a:avLst/>
                      </a:prstGeom>
                    </wps:spPr>
                    <wps:txbx>
                      <w:txbxContent>
                        <w:p w14:paraId="10548887" w14:textId="77777777" w:rsidR="00393283" w:rsidRDefault="00000000">
                          <w:pPr>
                            <w:spacing w:before="21"/>
                            <w:ind w:left="60"/>
                            <w:rPr>
                              <w:sz w:val="24"/>
                            </w:rPr>
                          </w:pPr>
                          <w:r>
                            <w:rPr>
                              <w:sz w:val="24"/>
                            </w:rPr>
                            <w:fldChar w:fldCharType="begin"/>
                          </w:r>
                          <w:r>
                            <w:rPr>
                              <w:sz w:val="24"/>
                            </w:rPr>
                            <w:instrText xml:space="preserve"> PAGE </w:instrText>
                          </w:r>
                          <w:r>
                            <w:rPr>
                              <w:sz w:val="24"/>
                            </w:rPr>
                            <w:fldChar w:fldCharType="separate"/>
                          </w:r>
                          <w:r>
                            <w:rPr>
                              <w:sz w:val="24"/>
                            </w:rPr>
                            <w:t>2</w:t>
                          </w:r>
                          <w:r>
                            <w:rPr>
                              <w:sz w:val="24"/>
                            </w:rPr>
                            <w:fldChar w:fldCharType="end"/>
                          </w:r>
                          <w:r>
                            <w:rPr>
                              <w:spacing w:val="-3"/>
                              <w:sz w:val="24"/>
                            </w:rPr>
                            <w:t xml:space="preserve"> </w:t>
                          </w:r>
                          <w:r>
                            <w:rPr>
                              <w:sz w:val="24"/>
                            </w:rPr>
                            <w:t>of</w:t>
                          </w:r>
                          <w:r>
                            <w:rPr>
                              <w:spacing w:val="-2"/>
                              <w:sz w:val="24"/>
                            </w:rPr>
                            <w:t xml:space="preserve"> </w:t>
                          </w:r>
                          <w:r>
                            <w:rPr>
                              <w:spacing w:val="-10"/>
                              <w:sz w:val="24"/>
                            </w:rPr>
                            <w:fldChar w:fldCharType="begin"/>
                          </w:r>
                          <w:r>
                            <w:rPr>
                              <w:spacing w:val="-10"/>
                              <w:sz w:val="24"/>
                            </w:rPr>
                            <w:instrText xml:space="preserve"> NUMPAGES </w:instrText>
                          </w:r>
                          <w:r>
                            <w:rPr>
                              <w:spacing w:val="-10"/>
                              <w:sz w:val="24"/>
                            </w:rPr>
                            <w:fldChar w:fldCharType="separate"/>
                          </w:r>
                          <w:r>
                            <w:rPr>
                              <w:spacing w:val="-10"/>
                              <w:sz w:val="24"/>
                            </w:rPr>
                            <w:t>9</w:t>
                          </w:r>
                          <w:r>
                            <w:rPr>
                              <w:spacing w:val="-10"/>
                              <w:sz w:val="24"/>
                            </w:rPr>
                            <w:fldChar w:fldCharType="end"/>
                          </w:r>
                        </w:p>
                      </w:txbxContent>
                    </wps:txbx>
                    <wps:bodyPr wrap="square" lIns="0" tIns="0" rIns="0" bIns="0" rtlCol="0">
                      <a:noAutofit/>
                    </wps:bodyPr>
                  </wps:wsp>
                </a:graphicData>
              </a:graphic>
            </wp:anchor>
          </w:drawing>
        </mc:Choice>
        <mc:Fallback>
          <w:pict>
            <v:shapetype w14:anchorId="7C942BA0" id="_x0000_t202" coordsize="21600,21600" o:spt="202" path="m,l,21600r21600,l21600,xe">
              <v:stroke joinstyle="miter"/>
              <v:path gradientshapeok="t" o:connecttype="rect"/>
            </v:shapetype>
            <v:shape id="Textbox 10" o:spid="_x0000_s1026" type="#_x0000_t202" style="position:absolute;margin-left:69pt;margin-top:44.8pt;width:32.6pt;height:16.5pt;z-index:-15913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" filled="f" stroked="f">
              <v:textbox inset="0,0,0,0">
                <w:txbxContent>
                  <w:p w14:paraId="10548887" w14:textId="77777777" w:rsidR="00393283" w:rsidRDefault="00000000">
                    <w:pPr>
                      <w:spacing w:before="21"/>
                      <w:ind w:left="60"/>
                      <w:rPr>
                        <w:sz w:val="24"/>
                      </w:rPr>
                    </w:pPr>
                    <w:r>
                      <w:rPr>
                        <w:sz w:val="24"/>
                      </w:rPr>
                      <w:fldChar w:fldCharType="begin"/>
                    </w:r>
                    <w:r>
                      <w:rPr>
                        <w:sz w:val="24"/>
                      </w:rPr>
                      <w:instrText xml:space="preserve"> PAGE </w:instrText>
                    </w:r>
                    <w:r>
                      <w:rPr>
                        <w:sz w:val="24"/>
                      </w:rPr>
                      <w:fldChar w:fldCharType="separate"/>
                    </w:r>
                    <w:r>
                      <w:rPr>
                        <w:sz w:val="24"/>
                      </w:rPr>
                      <w:t>2</w:t>
                    </w:r>
                    <w:r>
                      <w:rPr>
                        <w:sz w:val="24"/>
                      </w:rPr>
                      <w:fldChar w:fldCharType="end"/>
                    </w:r>
                    <w:r>
                      <w:rPr>
                        <w:spacing w:val="-3"/>
                        <w:sz w:val="24"/>
                      </w:rPr>
                      <w:t xml:space="preserve"> </w:t>
                    </w:r>
                    <w:r>
                      <w:rPr>
                        <w:sz w:val="24"/>
                      </w:rPr>
                      <w:t>of</w:t>
                    </w:r>
                    <w:r>
                      <w:rPr>
                        <w:spacing w:val="-2"/>
                        <w:sz w:val="24"/>
                      </w:rPr>
                      <w:t xml:space="preserve"> </w:t>
                    </w:r>
                    <w:r>
                      <w:rPr>
                        <w:spacing w:val="-10"/>
                        <w:sz w:val="24"/>
                      </w:rPr>
                      <w:fldChar w:fldCharType="begin"/>
                    </w:r>
                    <w:r>
                      <w:rPr>
                        <w:spacing w:val="-10"/>
                        <w:sz w:val="24"/>
                      </w:rPr>
                      <w:instrText xml:space="preserve"> NUMPAGES </w:instrText>
                    </w:r>
                    <w:r>
                      <w:rPr>
                        <w:spacing w:val="-10"/>
                        <w:sz w:val="24"/>
                      </w:rPr>
                      <w:fldChar w:fldCharType="separate"/>
                    </w:r>
                    <w:r>
                      <w:rPr>
                        <w:spacing w:val="-10"/>
                        <w:sz w:val="24"/>
                      </w:rPr>
                      <w:t>9</w:t>
                    </w:r>
                    <w:r>
                      <w:rPr>
                        <w:spacing w:val="-10"/>
                        <w:sz w:val="24"/>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DF219F"/>
    <w:multiLevelType w:val="hybridMultilevel"/>
    <w:tmpl w:val="055AA99A"/>
    <w:lvl w:ilvl="0" w:tplc="06425FD4">
      <w:start w:val="1"/>
      <w:numFmt w:val="decimal"/>
      <w:lvlText w:val="%1."/>
      <w:lvlJc w:val="left"/>
      <w:pPr>
        <w:ind w:left="859" w:hanging="360"/>
        <w:jc w:val="left"/>
      </w:pPr>
      <w:rPr>
        <w:rFonts w:ascii="Palladio Uralic" w:eastAsia="Palladio Uralic" w:hAnsi="Palladio Uralic" w:cs="Palladio Uralic" w:hint="default"/>
        <w:b w:val="0"/>
        <w:bCs w:val="0"/>
        <w:i w:val="0"/>
        <w:iCs w:val="0"/>
        <w:spacing w:val="0"/>
        <w:w w:val="99"/>
        <w:sz w:val="22"/>
        <w:szCs w:val="22"/>
        <w:lang w:val="en-US" w:eastAsia="en-US" w:bidi="ar-SA"/>
      </w:rPr>
    </w:lvl>
    <w:lvl w:ilvl="1" w:tplc="DE981998">
      <w:numFmt w:val="bullet"/>
      <w:lvlText w:val="•"/>
      <w:lvlJc w:val="left"/>
      <w:pPr>
        <w:ind w:left="1738" w:hanging="360"/>
      </w:pPr>
      <w:rPr>
        <w:rFonts w:hint="default"/>
        <w:lang w:val="en-US" w:eastAsia="en-US" w:bidi="ar-SA"/>
      </w:rPr>
    </w:lvl>
    <w:lvl w:ilvl="2" w:tplc="5D305D7C">
      <w:numFmt w:val="bullet"/>
      <w:lvlText w:val="•"/>
      <w:lvlJc w:val="left"/>
      <w:pPr>
        <w:ind w:left="2616" w:hanging="360"/>
      </w:pPr>
      <w:rPr>
        <w:rFonts w:hint="default"/>
        <w:lang w:val="en-US" w:eastAsia="en-US" w:bidi="ar-SA"/>
      </w:rPr>
    </w:lvl>
    <w:lvl w:ilvl="3" w:tplc="B1F6A6BE">
      <w:numFmt w:val="bullet"/>
      <w:lvlText w:val="•"/>
      <w:lvlJc w:val="left"/>
      <w:pPr>
        <w:ind w:left="3494" w:hanging="360"/>
      </w:pPr>
      <w:rPr>
        <w:rFonts w:hint="default"/>
        <w:lang w:val="en-US" w:eastAsia="en-US" w:bidi="ar-SA"/>
      </w:rPr>
    </w:lvl>
    <w:lvl w:ilvl="4" w:tplc="6748CCD4">
      <w:numFmt w:val="bullet"/>
      <w:lvlText w:val="•"/>
      <w:lvlJc w:val="left"/>
      <w:pPr>
        <w:ind w:left="4372" w:hanging="360"/>
      </w:pPr>
      <w:rPr>
        <w:rFonts w:hint="default"/>
        <w:lang w:val="en-US" w:eastAsia="en-US" w:bidi="ar-SA"/>
      </w:rPr>
    </w:lvl>
    <w:lvl w:ilvl="5" w:tplc="6B02A67E">
      <w:numFmt w:val="bullet"/>
      <w:lvlText w:val="•"/>
      <w:lvlJc w:val="left"/>
      <w:pPr>
        <w:ind w:left="5250" w:hanging="360"/>
      </w:pPr>
      <w:rPr>
        <w:rFonts w:hint="default"/>
        <w:lang w:val="en-US" w:eastAsia="en-US" w:bidi="ar-SA"/>
      </w:rPr>
    </w:lvl>
    <w:lvl w:ilvl="6" w:tplc="DF1E03C4">
      <w:numFmt w:val="bullet"/>
      <w:lvlText w:val="•"/>
      <w:lvlJc w:val="left"/>
      <w:pPr>
        <w:ind w:left="6128" w:hanging="360"/>
      </w:pPr>
      <w:rPr>
        <w:rFonts w:hint="default"/>
        <w:lang w:val="en-US" w:eastAsia="en-US" w:bidi="ar-SA"/>
      </w:rPr>
    </w:lvl>
    <w:lvl w:ilvl="7" w:tplc="BAA85230">
      <w:numFmt w:val="bullet"/>
      <w:lvlText w:val="•"/>
      <w:lvlJc w:val="left"/>
      <w:pPr>
        <w:ind w:left="7006" w:hanging="360"/>
      </w:pPr>
      <w:rPr>
        <w:rFonts w:hint="default"/>
        <w:lang w:val="en-US" w:eastAsia="en-US" w:bidi="ar-SA"/>
      </w:rPr>
    </w:lvl>
    <w:lvl w:ilvl="8" w:tplc="4DA06BA2">
      <w:numFmt w:val="bullet"/>
      <w:lvlText w:val="•"/>
      <w:lvlJc w:val="left"/>
      <w:pPr>
        <w:ind w:left="7884" w:hanging="360"/>
      </w:pPr>
      <w:rPr>
        <w:rFonts w:hint="default"/>
        <w:lang w:val="en-US" w:eastAsia="en-US" w:bidi="ar-SA"/>
      </w:rPr>
    </w:lvl>
  </w:abstractNum>
  <w:num w:numId="1" w16cid:durableId="2898264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283"/>
    <w:rsid w:val="00393283"/>
    <w:rsid w:val="00721BA4"/>
    <w:rsid w:val="0074433B"/>
    <w:rsid w:val="008F7B43"/>
    <w:rsid w:val="00B46080"/>
    <w:rsid w:val="00B764E4"/>
    <w:rsid w:val="00EA7EA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8E28B3"/>
  <w15:docId w15:val="{2DF24C85-CDD7-4FCE-BEFE-9CF85AC4D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Palladio Uralic" w:eastAsia="Palladio Uralic" w:hAnsi="Palladio Uralic" w:cs="Palladio Uralic"/>
    </w:rPr>
  </w:style>
  <w:style w:type="paragraph" w:styleId="Heading1">
    <w:name w:val="heading 1"/>
    <w:basedOn w:val="Normal"/>
    <w:uiPriority w:val="9"/>
    <w:qFormat/>
    <w:pPr>
      <w:spacing w:before="144"/>
      <w:ind w:left="140"/>
      <w:jc w:val="both"/>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859" w:right="136" w:hanging="360"/>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B764E4"/>
    <w:pPr>
      <w:tabs>
        <w:tab w:val="center" w:pos="4513"/>
        <w:tab w:val="right" w:pos="9026"/>
      </w:tabs>
    </w:pPr>
  </w:style>
  <w:style w:type="character" w:customStyle="1" w:styleId="HeaderChar">
    <w:name w:val="Header Char"/>
    <w:basedOn w:val="DefaultParagraphFont"/>
    <w:link w:val="Header"/>
    <w:uiPriority w:val="99"/>
    <w:rsid w:val="00B764E4"/>
    <w:rPr>
      <w:rFonts w:ascii="Palladio Uralic" w:eastAsia="Palladio Uralic" w:hAnsi="Palladio Uralic" w:cs="Palladio Uralic"/>
    </w:rPr>
  </w:style>
  <w:style w:type="paragraph" w:styleId="Footer">
    <w:name w:val="footer"/>
    <w:basedOn w:val="Normal"/>
    <w:link w:val="FooterChar"/>
    <w:uiPriority w:val="99"/>
    <w:unhideWhenUsed/>
    <w:rsid w:val="00B764E4"/>
    <w:pPr>
      <w:tabs>
        <w:tab w:val="center" w:pos="4513"/>
        <w:tab w:val="right" w:pos="9026"/>
      </w:tabs>
    </w:pPr>
  </w:style>
  <w:style w:type="character" w:customStyle="1" w:styleId="FooterChar">
    <w:name w:val="Footer Char"/>
    <w:basedOn w:val="DefaultParagraphFont"/>
    <w:link w:val="Footer"/>
    <w:uiPriority w:val="99"/>
    <w:rsid w:val="00B764E4"/>
    <w:rPr>
      <w:rFonts w:ascii="Palladio Uralic" w:eastAsia="Palladio Uralic" w:hAnsi="Palladio Uralic" w:cs="Palladio Urali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11</Pages>
  <Words>3209</Words>
  <Characters>18292</Characters>
  <Application>Microsoft Office Word</Application>
  <DocSecurity>0</DocSecurity>
  <Lines>152</Lines>
  <Paragraphs>42</Paragraphs>
  <ScaleCrop>false</ScaleCrop>
  <Company/>
  <LinksUpToDate>false</LinksUpToDate>
  <CharactersWithSpaces>21459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Governance at ICICI Bank: Chairman’s Dilemma</dc:title>
  <dc:creator>IIMA</dc:creator>
  <cp:lastModifiedBy>Sushil Kumar</cp:lastModifiedBy>
  <cp:revision>8</cp:revision>
  <dcterms:created xsi:type="dcterms:W3CDTF">2024-05-25T12:39:00Z</dcterms:created>
  <dcterms:modified xsi:type="dcterms:W3CDTF">2024-05-25T12:42:00Z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2022-12-22T00:00:00Z</vt:filetime>
  </property>
  <property fmtid="{D5CDD505-2E9C-101B-9397-08002B2CF9AE}" pid="3" name="Creator">
    <vt:lpwstr>Acrobat PDFMaker 22 for Word</vt:lpwstr>
  </property>
  <property fmtid="{D5CDD505-2E9C-101B-9397-08002B2CF9AE}" pid="4" name="LastSaved">
    <vt:filetime>2024-05-25T00:00:00Z</vt:filetime>
  </property>
  <property fmtid="{D5CDD505-2E9C-101B-9397-08002B2CF9AE}" pid="5" name="Producer">
    <vt:lpwstr>3-Heights(TM) PDF Security Shell 4.8.25.2 (http://www.pdf-tools.com)</vt:lpwstr>
  </property>
  <property fmtid="{D5CDD505-2E9C-101B-9397-08002B2CF9AE}" pid="6" name="SourceModified">
    <vt:lpwstr/>
  </property>
</Properties>
</file>